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4E44" w14:textId="06D6E15E" w:rsidR="00F24761" w:rsidRDefault="00F24761" w:rsidP="00F24761">
      <w:pPr>
        <w:jc w:val="right"/>
        <w:rPr>
          <w:rFonts w:asciiTheme="minorHAnsi" w:hAnsiTheme="minorHAnsi" w:cstheme="minorHAnsi"/>
          <w:b/>
          <w:bCs/>
          <w:iCs/>
          <w:noProof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noProof/>
          <w:color w:val="000000" w:themeColor="text1"/>
        </w:rPr>
        <w:t>SCHEDA 2</w:t>
      </w:r>
    </w:p>
    <w:p w14:paraId="192761AB" w14:textId="77777777" w:rsidR="00F24761" w:rsidRDefault="00F24761" w:rsidP="00F24761">
      <w:pPr>
        <w:jc w:val="both"/>
        <w:rPr>
          <w:rFonts w:asciiTheme="minorHAnsi" w:hAnsiTheme="minorHAnsi" w:cstheme="minorHAnsi"/>
          <w:b/>
          <w:bCs/>
          <w:iCs/>
          <w:noProof/>
          <w:color w:val="000000" w:themeColor="text1"/>
        </w:rPr>
      </w:pPr>
    </w:p>
    <w:p w14:paraId="16DAA43B" w14:textId="7C9093F5" w:rsidR="00F24761" w:rsidRDefault="00F24761" w:rsidP="00F24761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iCs/>
          <w:noProof/>
          <w:color w:val="000000" w:themeColor="text1"/>
        </w:rPr>
      </w:pPr>
      <w:r w:rsidRPr="00A85081">
        <w:rPr>
          <w:rFonts w:asciiTheme="minorHAnsi" w:hAnsiTheme="minorHAnsi" w:cstheme="minorHAnsi"/>
          <w:b/>
          <w:bCs/>
          <w:iCs/>
          <w:noProof/>
          <w:color w:val="000000" w:themeColor="text1"/>
        </w:rPr>
        <w:t>PROGRAMMA REGIONALE FSE +</w:t>
      </w:r>
    </w:p>
    <w:p w14:paraId="518922C7" w14:textId="77777777" w:rsidR="00F24761" w:rsidRPr="00A85081" w:rsidRDefault="00F24761" w:rsidP="00F24761">
      <w:pPr>
        <w:jc w:val="center"/>
        <w:rPr>
          <w:rFonts w:asciiTheme="minorHAnsi" w:hAnsiTheme="minorHAnsi" w:cstheme="minorHAnsi"/>
          <w:b/>
          <w:bCs/>
          <w:iCs/>
          <w:noProof/>
          <w:color w:val="000000" w:themeColor="text1"/>
        </w:rPr>
      </w:pPr>
    </w:p>
    <w:p w14:paraId="4C083ACF" w14:textId="193C904D" w:rsidR="00F24761" w:rsidRPr="00F91C4F" w:rsidRDefault="00F24761" w:rsidP="00DD1AE9">
      <w:pPr>
        <w:spacing w:before="100" w:beforeAutospacing="1" w:after="100" w:afterAutospacing="1"/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</w:pPr>
      <w:r w:rsidRPr="00F91C4F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>Il FSE+</w:t>
      </w:r>
      <w:r w:rsidR="00977865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 xml:space="preserve"> è uno</w:t>
      </w:r>
      <w:r w:rsidRPr="00F91C4F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 xml:space="preserve"> strumento decisivo per affrontare le profonde trasformazioni in atto e generare sviluppo sostenibile e inclusivo</w:t>
      </w:r>
      <w:r w:rsidR="00977865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>.</w:t>
      </w:r>
      <w:r w:rsidRPr="00F91C4F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 </w:t>
      </w:r>
    </w:p>
    <w:p w14:paraId="72C4FBD3" w14:textId="337ADC82" w:rsidR="00F24761" w:rsidRPr="00F91C4F" w:rsidRDefault="00F24761" w:rsidP="00DD1AE9">
      <w:pPr>
        <w:spacing w:before="100" w:beforeAutospacing="1" w:after="100" w:afterAutospacing="1"/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</w:pPr>
      <w:r w:rsidRPr="00F91C4F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 xml:space="preserve">La struttura del Programma si articola in 4 </w:t>
      </w:r>
      <w:r w:rsidR="00DD1AE9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>p</w:t>
      </w:r>
      <w:r w:rsidRPr="00F91C4F">
        <w:rPr>
          <w:rFonts w:asciiTheme="minorHAnsi" w:hAnsiTheme="minorHAnsi" w:cstheme="minorHAnsi"/>
          <w:iCs/>
          <w:noProof/>
          <w:color w:val="000000" w:themeColor="text1"/>
          <w:sz w:val="22"/>
          <w:szCs w:val="22"/>
        </w:rPr>
        <w:t>riorità:</w:t>
      </w:r>
    </w:p>
    <w:p w14:paraId="687BC021" w14:textId="6706A629" w:rsidR="00F24761" w:rsidRPr="00F91C4F" w:rsidRDefault="00F24761" w:rsidP="00DD1AE9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F91C4F">
        <w:rPr>
          <w:rFonts w:cstheme="minorHAnsi"/>
          <w:b/>
          <w:bCs/>
          <w:iCs/>
          <w:noProof/>
          <w:color w:val="000000" w:themeColor="text1"/>
        </w:rPr>
        <w:t>Occupazione</w:t>
      </w:r>
      <w:r w:rsidRPr="00F91C4F">
        <w:rPr>
          <w:rFonts w:cstheme="minorHAnsi"/>
          <w:iCs/>
          <w:noProof/>
          <w:color w:val="000000" w:themeColor="text1"/>
        </w:rPr>
        <w:t>:</w:t>
      </w:r>
    </w:p>
    <w:p w14:paraId="6E869DBC" w14:textId="77777777" w:rsidR="00F24761" w:rsidRPr="00F91C4F" w:rsidRDefault="00F24761" w:rsidP="00DD1AE9">
      <w:pPr>
        <w:pStyle w:val="Paragrafoelenco"/>
        <w:spacing w:before="100" w:beforeAutospacing="1" w:after="100" w:afterAutospacing="1" w:line="240" w:lineRule="auto"/>
        <w:ind w:left="360"/>
        <w:rPr>
          <w:rFonts w:cstheme="minorHAnsi"/>
          <w:iCs/>
          <w:noProof/>
          <w:color w:val="000000" w:themeColor="text1"/>
          <w:highlight w:val="yellow"/>
        </w:rPr>
      </w:pPr>
    </w:p>
    <w:p w14:paraId="3D5E16C7" w14:textId="77777777" w:rsidR="00F24761" w:rsidRPr="00F91C4F" w:rsidRDefault="00F24761" w:rsidP="00832EA5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ind w:left="1134"/>
        <w:contextualSpacing w:val="0"/>
        <w:jc w:val="both"/>
        <w:rPr>
          <w:rFonts w:cstheme="minorHAnsi"/>
          <w:iCs/>
          <w:noProof/>
          <w:color w:val="000000" w:themeColor="text1"/>
        </w:rPr>
      </w:pPr>
      <w:r w:rsidRPr="00F91C4F">
        <w:rPr>
          <w:rFonts w:cstheme="minorHAnsi"/>
          <w:b/>
          <w:bCs/>
          <w:iCs/>
          <w:noProof/>
          <w:color w:val="000000" w:themeColor="text1"/>
        </w:rPr>
        <w:t xml:space="preserve">contrastare la disoccupazione </w:t>
      </w:r>
      <w:r w:rsidRPr="00F91C4F">
        <w:rPr>
          <w:rFonts w:cstheme="minorHAnsi"/>
          <w:iCs/>
          <w:noProof/>
          <w:color w:val="000000" w:themeColor="text1"/>
        </w:rPr>
        <w:t>e creare</w:t>
      </w:r>
      <w:r w:rsidRPr="00F91C4F">
        <w:rPr>
          <w:rFonts w:cstheme="minorHAnsi"/>
          <w:b/>
          <w:bCs/>
          <w:iCs/>
          <w:noProof/>
          <w:color w:val="000000" w:themeColor="text1"/>
        </w:rPr>
        <w:t xml:space="preserve"> </w:t>
      </w:r>
      <w:r w:rsidRPr="00F91C4F">
        <w:rPr>
          <w:rFonts w:cstheme="minorHAnsi"/>
          <w:iCs/>
          <w:noProof/>
          <w:color w:val="000000" w:themeColor="text1"/>
        </w:rPr>
        <w:t xml:space="preserve">le condizioni per una </w:t>
      </w:r>
      <w:r w:rsidRPr="00F91C4F">
        <w:rPr>
          <w:rFonts w:cstheme="minorHAnsi"/>
          <w:b/>
          <w:bCs/>
          <w:iCs/>
          <w:noProof/>
          <w:color w:val="000000" w:themeColor="text1"/>
        </w:rPr>
        <w:t xml:space="preserve">piena e buona occupazione </w:t>
      </w:r>
      <w:r w:rsidRPr="00F91C4F">
        <w:rPr>
          <w:rFonts w:cstheme="minorHAnsi"/>
          <w:iCs/>
          <w:noProof/>
          <w:color w:val="000000" w:themeColor="text1"/>
        </w:rPr>
        <w:t>investendo sulla crescita delle</w:t>
      </w:r>
      <w:r w:rsidRPr="00F91C4F">
        <w:rPr>
          <w:rFonts w:cstheme="minorHAnsi"/>
          <w:b/>
          <w:bCs/>
          <w:iCs/>
          <w:noProof/>
          <w:color w:val="000000" w:themeColor="text1"/>
        </w:rPr>
        <w:t xml:space="preserve"> competenze delle persone </w:t>
      </w:r>
      <w:r w:rsidRPr="00F91C4F">
        <w:rPr>
          <w:rFonts w:cstheme="minorHAnsi"/>
          <w:iCs/>
          <w:noProof/>
          <w:color w:val="000000" w:themeColor="text1"/>
        </w:rPr>
        <w:t>e valorizzando e rafforzando</w:t>
      </w:r>
      <w:r w:rsidRPr="00F91C4F">
        <w:rPr>
          <w:rFonts w:cstheme="minorHAnsi"/>
          <w:b/>
          <w:bCs/>
          <w:iCs/>
          <w:noProof/>
          <w:color w:val="000000" w:themeColor="text1"/>
        </w:rPr>
        <w:t xml:space="preserve"> </w:t>
      </w:r>
      <w:r w:rsidRPr="00F91C4F">
        <w:rPr>
          <w:rFonts w:cstheme="minorHAnsi"/>
          <w:iCs/>
          <w:noProof/>
          <w:color w:val="000000" w:themeColor="text1"/>
        </w:rPr>
        <w:t>la</w:t>
      </w:r>
      <w:r w:rsidRPr="00F91C4F">
        <w:rPr>
          <w:rFonts w:cstheme="minorHAnsi"/>
          <w:b/>
          <w:bCs/>
          <w:iCs/>
          <w:noProof/>
          <w:color w:val="000000" w:themeColor="text1"/>
        </w:rPr>
        <w:t xml:space="preserve"> Rete attiva per il Lavoro</w:t>
      </w:r>
      <w:r w:rsidRPr="00F91C4F">
        <w:rPr>
          <w:rFonts w:cstheme="minorHAnsi"/>
          <w:iCs/>
          <w:noProof/>
          <w:color w:val="000000" w:themeColor="text1"/>
        </w:rPr>
        <w:t>, migliorando l’efficacia, l’efficienza e la capillarità sul territorio del sistema di politiche attive del lavoro attraverso azioni integrate e personalizzate, i</w:t>
      </w:r>
      <w:r w:rsidRPr="00F91C4F">
        <w:rPr>
          <w:rFonts w:cstheme="minorHAnsi"/>
          <w:noProof/>
          <w:color w:val="000000" w:themeColor="text1"/>
        </w:rPr>
        <w:t>n complementarità con quanto previsto nel Programma GOL</w:t>
      </w:r>
      <w:r w:rsidRPr="00F91C4F">
        <w:rPr>
          <w:rFonts w:cstheme="minorHAnsi"/>
          <w:iCs/>
          <w:noProof/>
          <w:color w:val="000000" w:themeColor="text1"/>
        </w:rPr>
        <w:t>;</w:t>
      </w:r>
    </w:p>
    <w:p w14:paraId="5D9CB645" w14:textId="77777777" w:rsidR="00F24761" w:rsidRPr="00F91C4F" w:rsidRDefault="00F24761" w:rsidP="00832EA5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ind w:left="1134"/>
        <w:contextualSpacing w:val="0"/>
        <w:jc w:val="both"/>
        <w:rPr>
          <w:rFonts w:cstheme="minorHAnsi"/>
          <w:iCs/>
          <w:noProof/>
          <w:color w:val="000000" w:themeColor="text1"/>
        </w:rPr>
      </w:pPr>
      <w:r w:rsidRPr="00F91C4F">
        <w:rPr>
          <w:rFonts w:cstheme="minorHAnsi"/>
          <w:iCs/>
          <w:noProof/>
          <w:color w:val="000000" w:themeColor="text1"/>
        </w:rPr>
        <w:t xml:space="preserve">aumentare la buona occupazione delle </w:t>
      </w:r>
      <w:r w:rsidRPr="00F91C4F">
        <w:rPr>
          <w:rFonts w:cstheme="minorHAnsi"/>
          <w:b/>
          <w:bCs/>
          <w:iCs/>
          <w:noProof/>
          <w:color w:val="000000" w:themeColor="text1"/>
        </w:rPr>
        <w:t>donne</w:t>
      </w:r>
      <w:r w:rsidRPr="00F91C4F">
        <w:rPr>
          <w:rFonts w:cstheme="minorHAnsi"/>
          <w:iCs/>
          <w:noProof/>
          <w:color w:val="000000" w:themeColor="text1"/>
        </w:rPr>
        <w:t>, rafforzando misure e azioni orientative e opportunità di formazione permanente, trasversale e tecnico professionale, per aumentare la spendibilità dei percorsi di istruzione e come misura di accesso e permanenza qualificata nel lavoro;</w:t>
      </w:r>
    </w:p>
    <w:p w14:paraId="60095712" w14:textId="7462F2AB" w:rsidR="00F24761" w:rsidRPr="00F91C4F" w:rsidRDefault="00F24761" w:rsidP="00832EA5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ind w:left="1134"/>
        <w:contextualSpacing w:val="0"/>
        <w:jc w:val="both"/>
        <w:rPr>
          <w:rFonts w:cstheme="minorHAnsi"/>
          <w:iCs/>
          <w:noProof/>
          <w:color w:val="000000" w:themeColor="text1"/>
        </w:rPr>
      </w:pPr>
      <w:r w:rsidRPr="00F91C4F">
        <w:rPr>
          <w:rFonts w:cstheme="minorHAnsi"/>
          <w:iCs/>
          <w:noProof/>
          <w:color w:val="000000" w:themeColor="text1"/>
        </w:rPr>
        <w:t xml:space="preserve">promuovere </w:t>
      </w:r>
      <w:r w:rsidRPr="00F91C4F">
        <w:rPr>
          <w:rFonts w:cstheme="minorHAnsi"/>
          <w:b/>
          <w:bCs/>
          <w:iCs/>
          <w:noProof/>
          <w:color w:val="000000" w:themeColor="text1"/>
        </w:rPr>
        <w:t>l’adattabilità dei lavoratori</w:t>
      </w:r>
      <w:r w:rsidRPr="00F91C4F">
        <w:rPr>
          <w:rFonts w:cstheme="minorHAnsi"/>
          <w:iCs/>
          <w:noProof/>
          <w:color w:val="000000" w:themeColor="text1"/>
        </w:rPr>
        <w:t xml:space="preserve"> e delle imprese – nella logica dell’integrazione delle risorse e della complementarità con i Fondi Interprofessionali e il F</w:t>
      </w:r>
      <w:r w:rsidR="00977865">
        <w:rPr>
          <w:rFonts w:cstheme="minorHAnsi"/>
          <w:iCs/>
          <w:noProof/>
          <w:color w:val="000000" w:themeColor="text1"/>
        </w:rPr>
        <w:t>esr</w:t>
      </w:r>
      <w:r w:rsidRPr="00F91C4F">
        <w:rPr>
          <w:rFonts w:cstheme="minorHAnsi"/>
          <w:iCs/>
          <w:noProof/>
          <w:color w:val="000000" w:themeColor="text1"/>
        </w:rPr>
        <w:t xml:space="preserve"> – sostenendo azioni formative per accompagnare i processi di riposizionamento, innovazione e sviluppo delle filiere e dei sistemi di impresa della S3, concorrendo agli obiettivi di promozione e attrattività degli investimenti.</w:t>
      </w:r>
    </w:p>
    <w:p w14:paraId="7777DF1C" w14:textId="53DC752C" w:rsidR="00F24761" w:rsidRPr="00F91C4F" w:rsidRDefault="00F24761" w:rsidP="00832EA5">
      <w:pPr>
        <w:pStyle w:val="Paragrafoelenco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cstheme="minorHAnsi"/>
          <w:b/>
          <w:bCs/>
          <w:iCs/>
          <w:noProof/>
          <w:color w:val="000000" w:themeColor="text1"/>
        </w:rPr>
      </w:pPr>
      <w:r w:rsidRPr="00F91C4F">
        <w:rPr>
          <w:rFonts w:cstheme="minorHAnsi"/>
          <w:b/>
          <w:bCs/>
          <w:iCs/>
          <w:noProof/>
          <w:color w:val="000000" w:themeColor="text1"/>
        </w:rPr>
        <w:t>Istruzione e formazione</w:t>
      </w:r>
      <w:r w:rsidRPr="00F91C4F">
        <w:rPr>
          <w:rFonts w:cstheme="minorHAnsi"/>
          <w:b/>
          <w:bCs/>
        </w:rPr>
        <w:t>:</w:t>
      </w:r>
    </w:p>
    <w:p w14:paraId="4CB72C3C" w14:textId="77777777" w:rsidR="00F24761" w:rsidRPr="00F91C4F" w:rsidRDefault="00F24761" w:rsidP="00832EA5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  <w:iCs/>
          <w:noProof/>
          <w:color w:val="000000" w:themeColor="text1"/>
        </w:rPr>
      </w:pPr>
      <w:r w:rsidRPr="00F91C4F">
        <w:rPr>
          <w:rFonts w:cstheme="minorHAnsi"/>
          <w:iCs/>
          <w:noProof/>
          <w:color w:val="000000" w:themeColor="text1"/>
        </w:rPr>
        <w:t xml:space="preserve">qualificare e rafforzare tutti i segmenti dell’infrastruttura regionale - </w:t>
      </w:r>
      <w:r w:rsidRPr="00F91C4F">
        <w:rPr>
          <w:rFonts w:cstheme="minorHAnsi"/>
          <w:b/>
          <w:bCs/>
          <w:iCs/>
          <w:noProof/>
          <w:color w:val="000000" w:themeColor="text1"/>
        </w:rPr>
        <w:t xml:space="preserve">istruzione e formazione professionale, formazione terziaria non universitaria, alta formazione e ricerca, formazione per l’inserimento e la permanenza nel lavoro - </w:t>
      </w:r>
      <w:r w:rsidRPr="00F91C4F">
        <w:rPr>
          <w:rFonts w:cstheme="minorHAnsi"/>
          <w:iCs/>
          <w:noProof/>
          <w:color w:val="000000" w:themeColor="text1"/>
        </w:rPr>
        <w:t xml:space="preserve">al fine di garantire a tutti pari diritti di acquisire conoscenze e competenze ampie e innovative e di crescere e lavorare esprimendo potenzialità, intelligenza e creatività, per favorire la continuità dei percorsi individuali e assicurando le competenze necessarie alla manifattura e ai servizi </w:t>
      </w:r>
      <w:r w:rsidRPr="00F91C4F">
        <w:rPr>
          <w:rFonts w:cstheme="minorHAnsi"/>
          <w:iCs/>
          <w:color w:val="000000" w:themeColor="text1"/>
        </w:rPr>
        <w:t>per innovare, competere e accelerare la doppia transizione</w:t>
      </w:r>
      <w:r w:rsidRPr="00F91C4F">
        <w:rPr>
          <w:rFonts w:cstheme="minorHAnsi"/>
          <w:noProof/>
          <w:color w:val="000000" w:themeColor="text1"/>
        </w:rPr>
        <w:t>;</w:t>
      </w:r>
    </w:p>
    <w:p w14:paraId="2A28C567" w14:textId="77777777" w:rsidR="00F24761" w:rsidRPr="00F91C4F" w:rsidRDefault="00F24761" w:rsidP="00832EA5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  <w:iCs/>
          <w:noProof/>
          <w:color w:val="000000" w:themeColor="text1"/>
        </w:rPr>
      </w:pPr>
      <w:r w:rsidRPr="00F91C4F">
        <w:rPr>
          <w:rFonts w:cstheme="minorHAnsi"/>
          <w:iCs/>
          <w:noProof/>
          <w:color w:val="000000" w:themeColor="text1"/>
        </w:rPr>
        <w:t>investire nell'</w:t>
      </w:r>
      <w:r w:rsidRPr="00F91C4F">
        <w:rPr>
          <w:rFonts w:cstheme="minorHAnsi"/>
          <w:b/>
          <w:bCs/>
          <w:iCs/>
          <w:noProof/>
          <w:color w:val="000000" w:themeColor="text1"/>
        </w:rPr>
        <w:t xml:space="preserve">apprendimento permanente </w:t>
      </w:r>
      <w:r w:rsidRPr="00F91C4F">
        <w:rPr>
          <w:rFonts w:cstheme="minorHAnsi"/>
          <w:iCs/>
          <w:noProof/>
          <w:color w:val="000000" w:themeColor="text1"/>
        </w:rPr>
        <w:t>degli adulti, aumentando opportunità di aggiornamento, di perfezionamento e di riqualificazione;</w:t>
      </w:r>
    </w:p>
    <w:p w14:paraId="7929BE75" w14:textId="77777777" w:rsidR="00F24761" w:rsidRPr="00F91C4F" w:rsidRDefault="00F24761" w:rsidP="00832EA5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  <w:iCs/>
          <w:noProof/>
          <w:color w:val="000000" w:themeColor="text1"/>
        </w:rPr>
      </w:pPr>
      <w:r w:rsidRPr="00F91C4F">
        <w:rPr>
          <w:rFonts w:cstheme="minorHAnsi"/>
          <w:iCs/>
          <w:noProof/>
          <w:color w:val="000000" w:themeColor="text1"/>
        </w:rPr>
        <w:t>investire nell’orientamento e nella promozione dell’accesso paritario a tutti i percorsi, rimuovendo stereotipi di genere che rischiano di ampliare i divari nella transizione.</w:t>
      </w:r>
    </w:p>
    <w:p w14:paraId="2F062F56" w14:textId="1C4F57C0" w:rsidR="00F24761" w:rsidRPr="00F91C4F" w:rsidRDefault="00F24761" w:rsidP="00832EA5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  <w:iCs/>
          <w:noProof/>
          <w:color w:val="000000" w:themeColor="text1"/>
        </w:rPr>
      </w:pPr>
      <w:r w:rsidRPr="00F91C4F">
        <w:rPr>
          <w:rFonts w:cstheme="minorHAnsi"/>
          <w:b/>
          <w:bCs/>
          <w:iCs/>
          <w:noProof/>
          <w:color w:val="000000" w:themeColor="text1"/>
        </w:rPr>
        <w:t>Inclusione sociale:</w:t>
      </w:r>
    </w:p>
    <w:p w14:paraId="1B52B389" w14:textId="77777777" w:rsidR="00F24761" w:rsidRPr="00F91C4F" w:rsidRDefault="00F24761" w:rsidP="00832EA5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  <w:iCs/>
          <w:noProof/>
          <w:color w:val="000000" w:themeColor="text1"/>
        </w:rPr>
      </w:pPr>
      <w:r w:rsidRPr="00F91C4F">
        <w:rPr>
          <w:rFonts w:cstheme="minorHAnsi"/>
          <w:iCs/>
          <w:noProof/>
        </w:rPr>
        <w:t xml:space="preserve">aumentare l’occupabilità delle persone, investendo su politiche integrate per l’occupazione quale leva per contrastare </w:t>
      </w:r>
      <w:r w:rsidRPr="00F91C4F">
        <w:rPr>
          <w:rFonts w:cstheme="minorHAnsi"/>
          <w:b/>
          <w:bCs/>
          <w:iCs/>
          <w:noProof/>
        </w:rPr>
        <w:t>l’esclusione sociale delle persone con disabilità e in condizioni di svantaggio, inclusi i cittadini stranieri, provenienti da paesi ue e extra ue e i migranti</w:t>
      </w:r>
      <w:r w:rsidRPr="00F91C4F">
        <w:rPr>
          <w:rFonts w:cstheme="minorHAnsi"/>
          <w:iCs/>
          <w:noProof/>
        </w:rPr>
        <w:t xml:space="preserve">. Si tratta di rafforzare interventi personalizzati orientativi, formativi e per il lavoro, fondati sulla valorizzazione delle potenzialità </w:t>
      </w:r>
      <w:r w:rsidRPr="00F91C4F">
        <w:rPr>
          <w:rFonts w:cstheme="minorHAnsi"/>
          <w:iCs/>
          <w:noProof/>
          <w:color w:val="000000" w:themeColor="text1"/>
        </w:rPr>
        <w:t xml:space="preserve">offerte dalle imprese, dall’economia sociale e dal terzo settore. Agendo per la piena attuazione dei principi della L.R. 14/2015 per l’inclusione attraverso il lavoro delle persone fragili e vulnerabili, si intende rafforzare l’integrazione tra i servizi territoriali – sociali, sanitari, del lavoro e della formazione - per consentire alle persone di uscire dalla condizione di vulnerabilità e raggiungere l’autonomia, anche attraverso azioni di innovazione sociale. Questi interventi saranno attuati </w:t>
      </w:r>
      <w:r w:rsidRPr="00F91C4F">
        <w:rPr>
          <w:rFonts w:cstheme="minorHAnsi"/>
          <w:noProof/>
          <w:color w:val="000000" w:themeColor="text1"/>
        </w:rPr>
        <w:t>in complementarità con quanto previsto nel Programma nazionale GOL;</w:t>
      </w:r>
    </w:p>
    <w:p w14:paraId="4EBE5893" w14:textId="77777777" w:rsidR="00F24761" w:rsidRPr="00F91C4F" w:rsidRDefault="00F24761" w:rsidP="00832EA5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  <w:iCs/>
          <w:noProof/>
          <w:color w:val="000000" w:themeColor="text1"/>
        </w:rPr>
      </w:pPr>
      <w:r w:rsidRPr="00F91C4F">
        <w:rPr>
          <w:rFonts w:cstheme="minorHAnsi"/>
          <w:iCs/>
          <w:noProof/>
          <w:color w:val="000000" w:themeColor="text1"/>
        </w:rPr>
        <w:lastRenderedPageBreak/>
        <w:t xml:space="preserve">investire su </w:t>
      </w:r>
      <w:r w:rsidRPr="00F91C4F">
        <w:rPr>
          <w:rFonts w:cstheme="minorHAnsi"/>
          <w:b/>
          <w:bCs/>
          <w:iCs/>
          <w:noProof/>
          <w:color w:val="000000" w:themeColor="text1"/>
        </w:rPr>
        <w:t>interventi/servizi di innovazione sociale</w:t>
      </w:r>
      <w:r w:rsidRPr="00F91C4F">
        <w:rPr>
          <w:rFonts w:cstheme="minorHAnsi"/>
          <w:iCs/>
          <w:noProof/>
          <w:color w:val="000000" w:themeColor="text1"/>
        </w:rPr>
        <w:t>, di sostegno all’economia sociale, alle imprese sociali ed al terzo settore anche come stimolo alle capacità imprenditoriali e con azioni di networking e rafforzamento della capacità amministrava per l’innovazione sociale;</w:t>
      </w:r>
    </w:p>
    <w:p w14:paraId="7758D604" w14:textId="77777777" w:rsidR="00F24761" w:rsidRPr="00F91C4F" w:rsidRDefault="00F24761" w:rsidP="00832EA5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  <w:iCs/>
          <w:noProof/>
          <w:color w:val="000000" w:themeColor="text1"/>
        </w:rPr>
      </w:pPr>
      <w:r w:rsidRPr="00F91C4F">
        <w:rPr>
          <w:rFonts w:cstheme="minorHAnsi"/>
          <w:iCs/>
          <w:noProof/>
          <w:color w:val="000000" w:themeColor="text1"/>
        </w:rPr>
        <w:t xml:space="preserve">assicurare un </w:t>
      </w:r>
      <w:r w:rsidRPr="00F91C4F">
        <w:rPr>
          <w:rFonts w:cstheme="minorHAnsi"/>
          <w:b/>
          <w:color w:val="000000" w:themeColor="text1"/>
        </w:rPr>
        <w:t>diritto allo studio scolastico ed universitario</w:t>
      </w:r>
      <w:r w:rsidRPr="00F91C4F">
        <w:rPr>
          <w:rFonts w:cstheme="minorHAnsi"/>
          <w:iCs/>
          <w:noProof/>
          <w:color w:val="000000" w:themeColor="text1"/>
        </w:rPr>
        <w:t xml:space="preserve"> </w:t>
      </w:r>
      <w:r w:rsidRPr="00F91C4F">
        <w:rPr>
          <w:rFonts w:cstheme="minorHAnsi"/>
          <w:b/>
          <w:bCs/>
          <w:iCs/>
          <w:noProof/>
          <w:color w:val="000000" w:themeColor="text1"/>
        </w:rPr>
        <w:t>universale ed inclusivo</w:t>
      </w:r>
      <w:r w:rsidRPr="00F91C4F">
        <w:rPr>
          <w:rFonts w:cstheme="minorHAnsi"/>
          <w:iCs/>
          <w:noProof/>
          <w:color w:val="000000" w:themeColor="text1"/>
        </w:rPr>
        <w:t xml:space="preserve">, come elemento fondante del modello di sviluppo inclusivo e coeso regionale, </w:t>
      </w:r>
      <w:r w:rsidRPr="00F91C4F">
        <w:rPr>
          <w:rFonts w:cstheme="minorHAnsi"/>
          <w:color w:val="000000" w:themeColor="text1"/>
        </w:rPr>
        <w:t>con l’obiettivo di rendere effettivo il diritto di raggiungere i più alti gradi dell’istruzione, del sapere e delle competenze agli studenti capaci, meritevoli e in difficili situazioni economiche</w:t>
      </w:r>
      <w:r w:rsidRPr="00F91C4F">
        <w:rPr>
          <w:rFonts w:cstheme="minorHAnsi"/>
          <w:iCs/>
          <w:noProof/>
          <w:color w:val="000000" w:themeColor="text1"/>
        </w:rPr>
        <w:t>;</w:t>
      </w:r>
    </w:p>
    <w:p w14:paraId="261756C2" w14:textId="77777777" w:rsidR="00F24761" w:rsidRPr="00F91C4F" w:rsidRDefault="00F24761" w:rsidP="00832EA5">
      <w:pPr>
        <w:pStyle w:val="Paragrafoelenco"/>
        <w:numPr>
          <w:ilvl w:val="0"/>
          <w:numId w:val="7"/>
        </w:numPr>
        <w:spacing w:before="100" w:beforeAutospacing="1" w:after="100" w:afterAutospacing="1" w:line="240" w:lineRule="auto"/>
        <w:contextualSpacing w:val="0"/>
        <w:jc w:val="both"/>
        <w:rPr>
          <w:rFonts w:cstheme="minorHAnsi"/>
          <w:color w:val="000000" w:themeColor="text1"/>
        </w:rPr>
      </w:pPr>
      <w:r w:rsidRPr="00F91C4F">
        <w:rPr>
          <w:rFonts w:cstheme="minorHAnsi"/>
          <w:iCs/>
          <w:noProof/>
          <w:color w:val="000000" w:themeColor="text1"/>
        </w:rPr>
        <w:t xml:space="preserve">potenziare il sistema di welfare, sostenendo misure per </w:t>
      </w:r>
      <w:r w:rsidRPr="00F91C4F">
        <w:rPr>
          <w:rFonts w:cstheme="minorHAnsi"/>
          <w:b/>
          <w:bCs/>
          <w:iCs/>
          <w:noProof/>
          <w:color w:val="000000" w:themeColor="text1"/>
        </w:rPr>
        <w:t>l’infanzia e l’adolescenza</w:t>
      </w:r>
      <w:r w:rsidRPr="00F91C4F">
        <w:rPr>
          <w:rFonts w:cstheme="minorHAnsi"/>
          <w:iCs/>
          <w:noProof/>
          <w:color w:val="000000" w:themeColor="text1"/>
        </w:rPr>
        <w:t xml:space="preserve">  e in particolare: accesso e abbattimento delle rette per gli asili nido, partecipazione alle</w:t>
      </w:r>
      <w:r w:rsidRPr="00F91C4F">
        <w:rPr>
          <w:rFonts w:cstheme="minorHAnsi"/>
          <w:b/>
          <w:bCs/>
          <w:iCs/>
          <w:noProof/>
          <w:color w:val="000000" w:themeColor="text1"/>
        </w:rPr>
        <w:t xml:space="preserve"> opportunità educative extrascolastiche </w:t>
      </w:r>
      <w:r w:rsidRPr="00F91C4F">
        <w:rPr>
          <w:rFonts w:cstheme="minorHAnsi"/>
          <w:iCs/>
          <w:noProof/>
          <w:color w:val="000000" w:themeColor="text1"/>
        </w:rPr>
        <w:t>quali i centri estivi</w:t>
      </w:r>
      <w:r w:rsidRPr="00F91C4F">
        <w:rPr>
          <w:rFonts w:cstheme="minorHAnsi"/>
          <w:b/>
          <w:bCs/>
          <w:iCs/>
          <w:noProof/>
          <w:color w:val="000000" w:themeColor="text1"/>
        </w:rPr>
        <w:t xml:space="preserve">. Obiettivo è rafforzare e qualificare  l’offerta di servizi di sostegno in risposta a bisogni specifici </w:t>
      </w:r>
      <w:r w:rsidRPr="00F91C4F">
        <w:rPr>
          <w:rFonts w:cstheme="minorHAnsi"/>
          <w:iCs/>
          <w:noProof/>
          <w:color w:val="000000" w:themeColor="text1"/>
        </w:rPr>
        <w:t>come misura di contrasto alla povertà educativa, di sostegno alle famiglie in condizioni economiche svantaggiate e di promozione della conciliazione vita-lavoro e dell’occupazione femminile, e come precondizione per contrastare marginalità ed esclusione e i connessi costi individuali e collettivi.</w:t>
      </w:r>
    </w:p>
    <w:p w14:paraId="68681B54" w14:textId="77777777" w:rsidR="00F24761" w:rsidRPr="00F91C4F" w:rsidRDefault="00F24761" w:rsidP="00832EA5">
      <w:pPr>
        <w:pStyle w:val="Paragrafoelenco"/>
        <w:spacing w:before="100" w:beforeAutospacing="1" w:after="100" w:afterAutospacing="1" w:line="240" w:lineRule="auto"/>
        <w:ind w:left="1080"/>
        <w:jc w:val="both"/>
        <w:rPr>
          <w:rFonts w:cstheme="minorHAnsi"/>
          <w:iCs/>
          <w:noProof/>
          <w:color w:val="000000" w:themeColor="text1"/>
        </w:rPr>
      </w:pPr>
    </w:p>
    <w:p w14:paraId="7CED50F6" w14:textId="19EA1631" w:rsidR="00F24761" w:rsidRPr="00F91C4F" w:rsidRDefault="00F24761" w:rsidP="00832EA5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  <w:iCs/>
          <w:noProof/>
          <w:color w:val="000000" w:themeColor="text1"/>
        </w:rPr>
      </w:pPr>
      <w:r w:rsidRPr="00F91C4F">
        <w:rPr>
          <w:rFonts w:cstheme="minorHAnsi"/>
          <w:b/>
          <w:bCs/>
          <w:iCs/>
          <w:noProof/>
          <w:color w:val="000000" w:themeColor="text1"/>
        </w:rPr>
        <w:t>Occupazione giovanile</w:t>
      </w:r>
      <w:r w:rsidR="00977865">
        <w:rPr>
          <w:rFonts w:cstheme="minorHAnsi"/>
          <w:b/>
          <w:bCs/>
          <w:iCs/>
          <w:noProof/>
          <w:color w:val="000000" w:themeColor="text1"/>
        </w:rPr>
        <w:t>:</w:t>
      </w:r>
      <w:r w:rsidRPr="00F91C4F">
        <w:rPr>
          <w:rFonts w:cstheme="minorHAnsi"/>
          <w:b/>
          <w:bCs/>
          <w:iCs/>
          <w:noProof/>
          <w:color w:val="000000" w:themeColor="text1"/>
        </w:rPr>
        <w:t xml:space="preserve"> </w:t>
      </w:r>
    </w:p>
    <w:p w14:paraId="3747D957" w14:textId="77777777" w:rsidR="00F24761" w:rsidRPr="00F91C4F" w:rsidRDefault="00F24761" w:rsidP="00832EA5">
      <w:pPr>
        <w:pStyle w:val="Paragrafoelenco"/>
        <w:spacing w:before="100" w:beforeAutospacing="1" w:after="100" w:afterAutospacing="1" w:line="240" w:lineRule="auto"/>
        <w:jc w:val="both"/>
        <w:rPr>
          <w:rFonts w:cstheme="minorHAnsi"/>
          <w:iCs/>
          <w:noProof/>
          <w:color w:val="000000" w:themeColor="text1"/>
        </w:rPr>
      </w:pPr>
    </w:p>
    <w:p w14:paraId="5A69AEB4" w14:textId="77777777" w:rsidR="00F24761" w:rsidRPr="00F91C4F" w:rsidRDefault="00F24761" w:rsidP="00832EA5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ind w:left="1134" w:hanging="357"/>
        <w:contextualSpacing w:val="0"/>
        <w:jc w:val="both"/>
        <w:rPr>
          <w:rFonts w:cstheme="minorHAnsi"/>
          <w:noProof/>
          <w:color w:val="000000" w:themeColor="text1"/>
        </w:rPr>
      </w:pPr>
      <w:r w:rsidRPr="00F91C4F">
        <w:rPr>
          <w:rFonts w:cstheme="minorHAnsi"/>
          <w:noProof/>
          <w:color w:val="000000" w:themeColor="text1"/>
        </w:rPr>
        <w:t xml:space="preserve">investire in un sistema di orientamento alle scelte educative, formative e professionali che rimuova gli stereotipi di genere e a supporto della doppia transizione fondato sulla piena collaborazione tra istituzioni, autonomie educative e imprese; </w:t>
      </w:r>
    </w:p>
    <w:p w14:paraId="23600FE6" w14:textId="77777777" w:rsidR="00F24761" w:rsidRPr="00F91C4F" w:rsidRDefault="00F24761" w:rsidP="00832EA5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ind w:left="1134" w:hanging="357"/>
        <w:contextualSpacing w:val="0"/>
        <w:jc w:val="both"/>
        <w:rPr>
          <w:rFonts w:cstheme="minorHAnsi"/>
          <w:noProof/>
          <w:color w:val="000000" w:themeColor="text1"/>
        </w:rPr>
      </w:pPr>
      <w:r w:rsidRPr="00F91C4F">
        <w:rPr>
          <w:rFonts w:cstheme="minorHAnsi"/>
          <w:noProof/>
          <w:color w:val="000000" w:themeColor="text1"/>
        </w:rPr>
        <w:t>qualificare ulteriormente l’offerta IeFP per accompagnare i giovani nell’acquisizione di competenze qualificate, anche trasversali, e conseguire una qualifica nell’ambito di una filiera di istruzione e formazione professionale che valorizzi l’apporto delle imprese nella individuazione dei fabbisogni, nella progettazione e realizzazione dei percorsi;</w:t>
      </w:r>
    </w:p>
    <w:p w14:paraId="374EC299" w14:textId="77777777" w:rsidR="00F24761" w:rsidRPr="00F91C4F" w:rsidRDefault="00F24761" w:rsidP="00832EA5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ind w:left="1134" w:hanging="357"/>
        <w:contextualSpacing w:val="0"/>
        <w:jc w:val="both"/>
        <w:rPr>
          <w:rFonts w:cstheme="minorHAnsi"/>
          <w:noProof/>
          <w:color w:val="000000" w:themeColor="text1"/>
        </w:rPr>
      </w:pPr>
      <w:r w:rsidRPr="00F91C4F">
        <w:rPr>
          <w:rFonts w:cstheme="minorHAnsi"/>
          <w:noProof/>
          <w:color w:val="000000" w:themeColor="text1"/>
        </w:rPr>
        <w:t xml:space="preserve">contrastare l’abbandono scolastico costruendo un’offerta personalizzata che sviluppi i raccordi tra i sistemi educativi e promuova il successo formativo; </w:t>
      </w:r>
    </w:p>
    <w:p w14:paraId="638C2B77" w14:textId="77777777" w:rsidR="00F24761" w:rsidRPr="00F91C4F" w:rsidRDefault="00F24761" w:rsidP="00832EA5">
      <w:pPr>
        <w:pStyle w:val="Paragrafoelenco"/>
        <w:numPr>
          <w:ilvl w:val="0"/>
          <w:numId w:val="3"/>
        </w:numPr>
        <w:spacing w:before="100" w:beforeAutospacing="1" w:after="100" w:afterAutospacing="1" w:line="240" w:lineRule="auto"/>
        <w:ind w:left="1134" w:hanging="357"/>
        <w:contextualSpacing w:val="0"/>
        <w:jc w:val="both"/>
        <w:rPr>
          <w:rFonts w:cstheme="minorHAnsi"/>
          <w:noProof/>
          <w:color w:val="000000" w:themeColor="text1"/>
        </w:rPr>
      </w:pPr>
      <w:r w:rsidRPr="00F91C4F">
        <w:rPr>
          <w:rFonts w:cstheme="minorHAnsi"/>
          <w:noProof/>
          <w:color w:val="000000" w:themeColor="text1"/>
        </w:rPr>
        <w:t>valorizzare i sistemi duali e l’apprendistato per accompagnare i giovani in un ingresso qualificato nel mercato del lavoro sostenendo una partecipazione attiva e riconoscendo il contributo delle imprese.</w:t>
      </w:r>
    </w:p>
    <w:p w14:paraId="10B3174D" w14:textId="11A2B9EF" w:rsidR="00F24761" w:rsidRPr="00DD1AE9" w:rsidRDefault="00DD1AE9" w:rsidP="00832EA5">
      <w:pPr>
        <w:spacing w:before="100" w:beforeAutospacing="1" w:after="100" w:afterAutospacing="1"/>
        <w:jc w:val="both"/>
        <w:rPr>
          <w:rFonts w:cstheme="minorHAnsi"/>
          <w:b/>
          <w:bCs/>
        </w:rPr>
      </w:pPr>
      <w:r w:rsidRPr="00A743C7">
        <w:rPr>
          <w:rFonts w:cstheme="minorHAnsi"/>
        </w:rPr>
        <w:t>A queste priorità si aggiunge</w:t>
      </w:r>
      <w:r>
        <w:rPr>
          <w:rFonts w:cstheme="minorHAnsi"/>
          <w:b/>
          <w:bCs/>
        </w:rPr>
        <w:t xml:space="preserve"> l’</w:t>
      </w:r>
      <w:r w:rsidR="00F24761" w:rsidRPr="00DD1AE9">
        <w:rPr>
          <w:rFonts w:cstheme="minorHAnsi"/>
          <w:b/>
          <w:bCs/>
        </w:rPr>
        <w:t xml:space="preserve">Assistenza tecnica </w:t>
      </w:r>
      <w:r>
        <w:rPr>
          <w:rFonts w:cstheme="minorHAnsi"/>
          <w:b/>
          <w:bCs/>
        </w:rPr>
        <w:t>(</w:t>
      </w:r>
      <w:r w:rsidR="00F24761" w:rsidRPr="00DD1AE9">
        <w:rPr>
          <w:rFonts w:cstheme="minorHAnsi"/>
        </w:rPr>
        <w:t>analisi, monitoraggio, valutazione, comunicazione e gestione programma</w:t>
      </w:r>
      <w:r>
        <w:rPr>
          <w:rFonts w:cstheme="minorHAnsi"/>
        </w:rPr>
        <w:t>).</w:t>
      </w:r>
      <w:r w:rsidR="00F24761" w:rsidRPr="00DD1AE9">
        <w:rPr>
          <w:rFonts w:cstheme="minorHAnsi"/>
        </w:rPr>
        <w:t xml:space="preserve"> </w:t>
      </w:r>
    </w:p>
    <w:sectPr w:rsidR="00F24761" w:rsidRPr="00DD1A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F26"/>
    <w:multiLevelType w:val="hybridMultilevel"/>
    <w:tmpl w:val="2D6E1D6A"/>
    <w:lvl w:ilvl="0" w:tplc="13F4CA3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D07"/>
    <w:multiLevelType w:val="hybridMultilevel"/>
    <w:tmpl w:val="D9C4C652"/>
    <w:lvl w:ilvl="0" w:tplc="E8EAE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FA6"/>
    <w:multiLevelType w:val="hybridMultilevel"/>
    <w:tmpl w:val="BC2EC216"/>
    <w:lvl w:ilvl="0" w:tplc="8A18447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846E2"/>
    <w:multiLevelType w:val="hybridMultilevel"/>
    <w:tmpl w:val="39780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3A05"/>
    <w:multiLevelType w:val="hybridMultilevel"/>
    <w:tmpl w:val="2CA047A2"/>
    <w:lvl w:ilvl="0" w:tplc="2C92538A">
      <w:start w:val="1"/>
      <w:numFmt w:val="bullet"/>
      <w:lvlText w:val="-"/>
      <w:lvlJc w:val="left"/>
      <w:pPr>
        <w:ind w:left="360" w:hanging="360"/>
      </w:pPr>
      <w:rPr>
        <w:rFonts w:ascii="Raleway" w:eastAsia="Times New Roman" w:hAnsi="Raleway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A23AAA"/>
    <w:multiLevelType w:val="hybridMultilevel"/>
    <w:tmpl w:val="7FF0B8B4"/>
    <w:lvl w:ilvl="0" w:tplc="D94E4604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603FBF"/>
    <w:multiLevelType w:val="hybridMultilevel"/>
    <w:tmpl w:val="8908A0E8"/>
    <w:lvl w:ilvl="0" w:tplc="13F4CA3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CF4D31"/>
    <w:multiLevelType w:val="hybridMultilevel"/>
    <w:tmpl w:val="3E4A01FE"/>
    <w:lvl w:ilvl="0" w:tplc="355C9C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14134"/>
    <w:multiLevelType w:val="hybridMultilevel"/>
    <w:tmpl w:val="6B38B31E"/>
    <w:lvl w:ilvl="0" w:tplc="13F4CA32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61"/>
    <w:rsid w:val="0050328A"/>
    <w:rsid w:val="00545EBA"/>
    <w:rsid w:val="00594CFC"/>
    <w:rsid w:val="00832EA5"/>
    <w:rsid w:val="00977865"/>
    <w:rsid w:val="00A743C7"/>
    <w:rsid w:val="00DD1AE9"/>
    <w:rsid w:val="00E36218"/>
    <w:rsid w:val="00F24761"/>
    <w:rsid w:val="00F9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6E50"/>
  <w15:chartTrackingRefBased/>
  <w15:docId w15:val="{95A4DCC9-E6B0-4C68-8822-EAA1833E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4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F247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qFormat/>
    <w:locked/>
    <w:rsid w:val="00F24761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Boselli Gianni</dc:creator>
  <cp:keywords/>
  <dc:description/>
  <cp:lastModifiedBy>Ferrara Daniela</cp:lastModifiedBy>
  <cp:revision>2</cp:revision>
  <dcterms:created xsi:type="dcterms:W3CDTF">2021-11-18T15:34:00Z</dcterms:created>
  <dcterms:modified xsi:type="dcterms:W3CDTF">2021-11-18T15:34:00Z</dcterms:modified>
</cp:coreProperties>
</file>