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1259" w14:textId="77777777" w:rsidR="00062EB6" w:rsidRPr="00062EB6" w:rsidRDefault="00062EB6" w:rsidP="0006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2EB6">
        <w:rPr>
          <w:rFonts w:ascii="Arial" w:hAnsi="Arial" w:cs="Arial"/>
          <w:sz w:val="24"/>
          <w:szCs w:val="24"/>
        </w:rPr>
        <w:t xml:space="preserve">Allegato </w:t>
      </w:r>
    </w:p>
    <w:p w14:paraId="1C75A964" w14:textId="77777777" w:rsidR="00062EB6" w:rsidRPr="00062EB6" w:rsidRDefault="00062EB6" w:rsidP="00062EB6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F0189F" w14:textId="77777777" w:rsidR="00062EB6" w:rsidRPr="00062EB6" w:rsidRDefault="00062EB6" w:rsidP="00062EB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2EB6">
        <w:rPr>
          <w:rFonts w:ascii="Arial" w:hAnsi="Arial" w:cs="Arial"/>
          <w:b/>
          <w:bCs/>
          <w:sz w:val="24"/>
          <w:szCs w:val="24"/>
        </w:rPr>
        <w:t>La Federazione Diabete ER</w:t>
      </w:r>
    </w:p>
    <w:p w14:paraId="5DED8DE9" w14:textId="62CB0774" w:rsidR="00062EB6" w:rsidRPr="00062EB6" w:rsidRDefault="00062EB6" w:rsidP="00062E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2EB6">
        <w:rPr>
          <w:rFonts w:ascii="Arial" w:hAnsi="Arial" w:cs="Arial"/>
          <w:sz w:val="24"/>
          <w:szCs w:val="24"/>
        </w:rPr>
        <w:t>La Federazione Diabete ER</w:t>
      </w:r>
      <w:r w:rsidR="00725955">
        <w:rPr>
          <w:rFonts w:ascii="Arial" w:hAnsi="Arial" w:cs="Arial"/>
          <w:sz w:val="24"/>
          <w:szCs w:val="24"/>
        </w:rPr>
        <w:t xml:space="preserve"> (FeDER)</w:t>
      </w:r>
      <w:r w:rsidRPr="00062EB6">
        <w:rPr>
          <w:rFonts w:ascii="Arial" w:hAnsi="Arial" w:cs="Arial"/>
          <w:sz w:val="24"/>
          <w:szCs w:val="24"/>
        </w:rPr>
        <w:t>, che raccoglie 25 associazioni, partecipa alle decisioni sulle politiche regionali per la salute, in particolare alla programmazione, allo sviluppo delle linee di indirizzo, alla valutazione degli esiti, a indagini rivolte alla popolazione e a iniziative di informazione e comunicazione</w:t>
      </w:r>
      <w:r w:rsidR="00725955">
        <w:rPr>
          <w:rFonts w:ascii="Arial" w:hAnsi="Arial" w:cs="Arial"/>
          <w:sz w:val="24"/>
          <w:szCs w:val="24"/>
        </w:rPr>
        <w:t>.</w:t>
      </w:r>
    </w:p>
    <w:p w14:paraId="7D6A1109" w14:textId="77777777" w:rsidR="00062EB6" w:rsidRPr="00062EB6" w:rsidRDefault="00062EB6" w:rsidP="00062EB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1C8DF6" w14:textId="77777777" w:rsidR="00062EB6" w:rsidRPr="00062EB6" w:rsidRDefault="00062EB6" w:rsidP="00062E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2EB6">
        <w:rPr>
          <w:rFonts w:ascii="Arial" w:hAnsi="Arial" w:cs="Arial"/>
          <w:sz w:val="24"/>
          <w:szCs w:val="24"/>
        </w:rPr>
        <w:t>Con la partecipazione della FeDER sono stati realizzati numerosi documenti di indirizzo regionali sul diabete, per l’età pediatrica e l’età adulta, a garanzia della continuità dell’assistenza e dell’importanza del ruolo attivo del paziente e della sua famiglia, del bambino e dei suoi genitori nel percorso di cura. È stato organizzato inoltre il corso del “</w:t>
      </w:r>
      <w:r w:rsidRPr="00062EB6">
        <w:rPr>
          <w:rFonts w:ascii="Arial" w:hAnsi="Arial" w:cs="Arial"/>
          <w:b/>
          <w:bCs/>
          <w:sz w:val="24"/>
          <w:szCs w:val="24"/>
        </w:rPr>
        <w:t>Cittadino Attivo e Competente</w:t>
      </w:r>
      <w:r w:rsidRPr="00062EB6">
        <w:rPr>
          <w:rFonts w:ascii="Arial" w:hAnsi="Arial" w:cs="Arial"/>
          <w:sz w:val="24"/>
          <w:szCs w:val="24"/>
        </w:rPr>
        <w:t>”, coordinato dalla FeDER in collaborazione con la Regione. Si tratta della</w:t>
      </w:r>
      <w:r w:rsidRPr="00062EB6">
        <w:rPr>
          <w:rFonts w:ascii="Arial" w:hAnsi="Arial" w:cs="Arial"/>
          <w:b/>
          <w:bCs/>
          <w:sz w:val="24"/>
          <w:szCs w:val="24"/>
        </w:rPr>
        <w:t xml:space="preserve"> prima esperienza nel suo genere</w:t>
      </w:r>
      <w:r w:rsidRPr="00725955">
        <w:rPr>
          <w:rFonts w:ascii="Arial" w:hAnsi="Arial" w:cs="Arial"/>
          <w:sz w:val="24"/>
          <w:szCs w:val="24"/>
        </w:rPr>
        <w:t xml:space="preserve">, </w:t>
      </w:r>
      <w:r w:rsidRPr="00062EB6">
        <w:rPr>
          <w:rFonts w:ascii="Arial" w:hAnsi="Arial" w:cs="Arial"/>
          <w:b/>
          <w:bCs/>
          <w:sz w:val="24"/>
          <w:szCs w:val="24"/>
        </w:rPr>
        <w:t>a livello nazionale</w:t>
      </w:r>
      <w:r w:rsidRPr="00062EB6">
        <w:rPr>
          <w:rFonts w:ascii="Arial" w:hAnsi="Arial" w:cs="Arial"/>
          <w:sz w:val="24"/>
          <w:szCs w:val="24"/>
        </w:rPr>
        <w:t xml:space="preserve">, voluta e fatta da associazioni di pazienti e da un’istituzione pubblica, con un obiettivo preciso: formare dei cittadini affinché svolgano un ruolo attivo nelle attività di presa in carico delle malattie croniche, nel caso specifico il diabete, </w:t>
      </w:r>
      <w:r w:rsidRPr="00062EB6">
        <w:rPr>
          <w:rFonts w:ascii="Arial" w:hAnsi="Arial" w:cs="Arial"/>
          <w:b/>
          <w:bCs/>
          <w:sz w:val="24"/>
          <w:szCs w:val="24"/>
        </w:rPr>
        <w:t>collaborando nelle Case della salute e con le équipe multidisciplinari</w:t>
      </w:r>
      <w:r w:rsidRPr="00062EB6">
        <w:rPr>
          <w:rFonts w:ascii="Arial" w:hAnsi="Arial" w:cs="Arial"/>
          <w:sz w:val="24"/>
          <w:szCs w:val="24"/>
        </w:rPr>
        <w:t xml:space="preserve"> (infermieri, medici di base, pediatri, assistenti sociali) a sostegno dei pazienti e dei rispettivi familiari.</w:t>
      </w:r>
    </w:p>
    <w:p w14:paraId="077F14C6" w14:textId="77777777" w:rsidR="00062EB6" w:rsidRPr="00062EB6" w:rsidRDefault="00062EB6" w:rsidP="00062E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4CB3D1" w14:textId="77777777" w:rsidR="00062EB6" w:rsidRPr="00062EB6" w:rsidRDefault="00062EB6" w:rsidP="00062EB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2EB6">
        <w:rPr>
          <w:rFonts w:ascii="Arial" w:hAnsi="Arial" w:cs="Arial"/>
          <w:b/>
          <w:bCs/>
          <w:sz w:val="24"/>
          <w:szCs w:val="24"/>
        </w:rPr>
        <w:t>I farmaci: la nuova formulazione del glucagone in polvere</w:t>
      </w:r>
    </w:p>
    <w:p w14:paraId="669B2221" w14:textId="4F6DC9FF" w:rsidR="00062EB6" w:rsidRPr="00062EB6" w:rsidRDefault="00062EB6" w:rsidP="00062E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2EB6">
        <w:rPr>
          <w:rFonts w:ascii="Arial" w:hAnsi="Arial" w:cs="Arial"/>
          <w:sz w:val="24"/>
          <w:szCs w:val="24"/>
        </w:rPr>
        <w:t xml:space="preserve">L’attento presidio sulla disponibilità delle cure farmacologiche ha consentito di arricchire ulteriormente l’armamentario terapeutico della Regione Emilia-Romagna con la </w:t>
      </w:r>
      <w:r w:rsidRPr="00062EB6">
        <w:rPr>
          <w:rFonts w:ascii="Arial" w:hAnsi="Arial" w:cs="Arial"/>
          <w:b/>
          <w:bCs/>
          <w:sz w:val="24"/>
          <w:szCs w:val="24"/>
        </w:rPr>
        <w:t>nuova formulazione</w:t>
      </w:r>
      <w:r w:rsidRPr="00062EB6">
        <w:rPr>
          <w:rFonts w:ascii="Arial" w:hAnsi="Arial" w:cs="Arial"/>
          <w:sz w:val="24"/>
          <w:szCs w:val="24"/>
        </w:rPr>
        <w:t xml:space="preserve"> di </w:t>
      </w:r>
      <w:r w:rsidRPr="00062EB6">
        <w:rPr>
          <w:rFonts w:ascii="Arial" w:hAnsi="Arial" w:cs="Arial"/>
          <w:b/>
          <w:bCs/>
          <w:sz w:val="24"/>
          <w:szCs w:val="24"/>
        </w:rPr>
        <w:t>glucagone in polvere</w:t>
      </w:r>
      <w:r w:rsidRPr="00062EB6">
        <w:rPr>
          <w:rFonts w:ascii="Arial" w:hAnsi="Arial" w:cs="Arial"/>
          <w:sz w:val="24"/>
          <w:szCs w:val="24"/>
        </w:rPr>
        <w:t xml:space="preserve"> per il trattamento dell’ipoglicemia grave negli adulti, negli adolescenti e nei bambini dai 4 anni in su con diabete mellito, da somministrare per </w:t>
      </w:r>
      <w:r w:rsidRPr="00062EB6">
        <w:rPr>
          <w:rFonts w:ascii="Arial" w:hAnsi="Arial" w:cs="Arial"/>
          <w:b/>
          <w:bCs/>
          <w:sz w:val="24"/>
          <w:szCs w:val="24"/>
        </w:rPr>
        <w:t>via nasale</w:t>
      </w:r>
      <w:r w:rsidRPr="00062EB6">
        <w:rPr>
          <w:rFonts w:ascii="Arial" w:hAnsi="Arial" w:cs="Arial"/>
          <w:sz w:val="24"/>
          <w:szCs w:val="24"/>
        </w:rPr>
        <w:t xml:space="preserve">. Questa formulazione, che </w:t>
      </w:r>
      <w:r w:rsidRPr="00062EB6">
        <w:rPr>
          <w:rFonts w:ascii="Arial" w:hAnsi="Arial" w:cs="Arial"/>
          <w:b/>
          <w:bCs/>
          <w:sz w:val="24"/>
          <w:szCs w:val="24"/>
        </w:rPr>
        <w:t>è stata posta a carico del Servizio sanitario nazionale</w:t>
      </w:r>
      <w:r w:rsidRPr="00062EB6">
        <w:rPr>
          <w:rFonts w:ascii="Arial" w:hAnsi="Arial" w:cs="Arial"/>
          <w:sz w:val="24"/>
          <w:szCs w:val="24"/>
        </w:rPr>
        <w:t xml:space="preserve"> alla fine di ottobre, si affianca a quella iniettiva e può facilitare l’assistenza in emergenza ai bambini e adolescenti con diabete mellito, sia a casa </w:t>
      </w:r>
      <w:r w:rsidR="005018C0">
        <w:rPr>
          <w:rFonts w:ascii="Arial" w:hAnsi="Arial" w:cs="Arial"/>
          <w:sz w:val="24"/>
          <w:szCs w:val="24"/>
        </w:rPr>
        <w:t>che</w:t>
      </w:r>
      <w:r w:rsidRPr="00062EB6">
        <w:rPr>
          <w:rFonts w:ascii="Arial" w:hAnsi="Arial" w:cs="Arial"/>
          <w:sz w:val="24"/>
          <w:szCs w:val="24"/>
        </w:rPr>
        <w:t xml:space="preserve"> durante le attività scolastiche. </w:t>
      </w:r>
    </w:p>
    <w:p w14:paraId="68793795" w14:textId="77777777" w:rsidR="00062EB6" w:rsidRPr="00062EB6" w:rsidRDefault="00062EB6" w:rsidP="00062E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2EB6">
        <w:rPr>
          <w:rFonts w:ascii="Arial" w:hAnsi="Arial" w:cs="Arial"/>
          <w:sz w:val="24"/>
          <w:szCs w:val="24"/>
        </w:rPr>
        <w:t xml:space="preserve">L’uso viene preceduto da un’adeguata formazione di coloro che lo somministrano, e dunque sanitari, operatori, caregiver, personale del mondo educativo-scolastico, per garantire appropriatezza, efficacia e sicurezza dell’intervento terapeutico in urgenza. </w:t>
      </w:r>
    </w:p>
    <w:p w14:paraId="20490FAF" w14:textId="77777777" w:rsidR="00574E6B" w:rsidRDefault="00574E6B"/>
    <w:sectPr w:rsidR="00574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7F"/>
    <w:rsid w:val="00062EB6"/>
    <w:rsid w:val="005018C0"/>
    <w:rsid w:val="00574E6B"/>
    <w:rsid w:val="00725955"/>
    <w:rsid w:val="00E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45D2"/>
  <w15:chartTrackingRefBased/>
  <w15:docId w15:val="{A579153C-5BFA-47EC-9452-B0A80BC2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EB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>Regione Emilia-Romagna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</cp:revision>
  <dcterms:created xsi:type="dcterms:W3CDTF">2021-11-12T10:13:00Z</dcterms:created>
  <dcterms:modified xsi:type="dcterms:W3CDTF">2021-11-12T10:14:00Z</dcterms:modified>
</cp:coreProperties>
</file>