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12ED" w14:textId="77777777" w:rsidR="00AD0708" w:rsidRPr="00F256CD" w:rsidRDefault="00AD0708" w:rsidP="00AD0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spacing w:before="80" w:after="80"/>
        <w:ind w:right="8787"/>
        <w:jc w:val="both"/>
        <w:outlineLvl w:val="1"/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</w:pPr>
      <w:r w:rsidRPr="00F256CD"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  <w:t>Allegato</w:t>
      </w:r>
    </w:p>
    <w:p w14:paraId="3DDBCE29" w14:textId="77777777" w:rsidR="00AD0708" w:rsidRPr="00ED3C44" w:rsidRDefault="00AD0708" w:rsidP="00AD0708">
      <w:pPr>
        <w:shd w:val="clear" w:color="auto" w:fill="FFFFFF"/>
        <w:suppressAutoHyphens w:val="0"/>
        <w:spacing w:before="80" w:after="80"/>
        <w:jc w:val="both"/>
        <w:outlineLvl w:val="1"/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</w:pPr>
    </w:p>
    <w:p w14:paraId="3480E059" w14:textId="77777777" w:rsidR="00AD0708" w:rsidRPr="00ED3C44" w:rsidRDefault="00AD0708" w:rsidP="00AD0708">
      <w:pPr>
        <w:shd w:val="clear" w:color="auto" w:fill="FFFFFF"/>
        <w:suppressAutoHyphens w:val="0"/>
        <w:spacing w:before="80" w:after="80"/>
        <w:jc w:val="both"/>
        <w:outlineLvl w:val="1"/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</w:pPr>
      <w:r w:rsidRPr="00ED3C44"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  <w:t>La formazione per lo spettacolo dal vivo in Emilia-Romagna</w:t>
      </w:r>
    </w:p>
    <w:p w14:paraId="4F2B8DEC" w14:textId="77777777" w:rsidR="00AD0708" w:rsidRPr="00ED3C44" w:rsidRDefault="00AD0708" w:rsidP="00AD0708">
      <w:pPr>
        <w:shd w:val="clear" w:color="auto" w:fill="FFFFFF"/>
        <w:suppressAutoHyphens w:val="0"/>
        <w:spacing w:before="80" w:after="80"/>
        <w:jc w:val="both"/>
        <w:rPr>
          <w:rFonts w:asciiTheme="minorHAnsi" w:hAnsiTheme="minorHAnsi" w:cstheme="minorHAnsi"/>
          <w:color w:val="1C2024"/>
          <w:w w:val="100"/>
          <w:sz w:val="24"/>
          <w:lang w:eastAsia="it-IT"/>
        </w:rPr>
      </w:pP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br/>
        <w:t>Con le risorse del Fondo sociale europeo, la Regione finanzia </w:t>
      </w:r>
      <w:r w:rsidRPr="00ED3C44"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  <w:t xml:space="preserve">percorsi formativi </w:t>
      </w: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>per fornire alle diverse figure che operano e intendono operare nello spettacolo </w:t>
      </w:r>
      <w:r w:rsidRPr="00ED3C44"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  <w:t>alte competenze in diverse specializzazioni</w:t>
      </w: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>, dalla musica alla danza, dal teatro all’opera.</w:t>
      </w:r>
    </w:p>
    <w:p w14:paraId="54F07D89" w14:textId="77777777" w:rsidR="00AD0708" w:rsidRPr="00ED3C44" w:rsidRDefault="00AD0708" w:rsidP="00AD0708">
      <w:pPr>
        <w:shd w:val="clear" w:color="auto" w:fill="FFFFFF"/>
        <w:suppressAutoHyphens w:val="0"/>
        <w:spacing w:before="80" w:after="80"/>
        <w:jc w:val="both"/>
        <w:rPr>
          <w:rFonts w:asciiTheme="minorHAnsi" w:hAnsiTheme="minorHAnsi" w:cstheme="minorHAnsi"/>
          <w:color w:val="1C2024"/>
          <w:w w:val="100"/>
          <w:sz w:val="24"/>
          <w:lang w:eastAsia="it-IT"/>
        </w:rPr>
      </w:pP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 xml:space="preserve">A questi interventi, finanziati dalla Giunta regionale con bandi dell’Assessorato regionale allo Sviluppo economico, Green economy e Formazione professionale in collaborazione con l’Assessorato regionale alla Cultura, sono state destinate nel 2020 risorse di Fondo sociale europeo pari a oltre </w:t>
      </w:r>
      <w:r w:rsidRPr="00ED3C44"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  <w:t>2 milioni e 900 mila euro</w:t>
      </w: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>.</w:t>
      </w:r>
    </w:p>
    <w:p w14:paraId="290CD2B4" w14:textId="77777777" w:rsidR="00AD0708" w:rsidRPr="00ED3C44" w:rsidRDefault="00AD0708" w:rsidP="00AD0708">
      <w:pPr>
        <w:shd w:val="clear" w:color="auto" w:fill="FFFFFF"/>
        <w:suppressAutoHyphens w:val="0"/>
        <w:spacing w:before="80" w:after="80"/>
        <w:jc w:val="both"/>
        <w:rPr>
          <w:rFonts w:asciiTheme="minorHAnsi" w:hAnsiTheme="minorHAnsi" w:cstheme="minorHAnsi"/>
          <w:color w:val="1C2024"/>
          <w:w w:val="100"/>
          <w:sz w:val="24"/>
          <w:lang w:eastAsia="it-IT"/>
        </w:rPr>
      </w:pP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 xml:space="preserve">Le azioni formative sono finalizzate ad aggiornare o qualificare le conoscenze e le competenze acquisite in percorsi educativi, formativi, in esperienze professionali e non professionali. </w:t>
      </w:r>
    </w:p>
    <w:p w14:paraId="6BFC0660" w14:textId="77777777" w:rsidR="00AD0708" w:rsidRPr="00ED3C44" w:rsidRDefault="00AD0708" w:rsidP="00AD0708">
      <w:pPr>
        <w:suppressAutoHyphens w:val="0"/>
        <w:spacing w:before="80" w:after="80"/>
        <w:jc w:val="both"/>
        <w:rPr>
          <w:rFonts w:asciiTheme="minorHAnsi" w:hAnsiTheme="minorHAnsi" w:cstheme="minorHAnsi"/>
          <w:color w:val="1C2024"/>
          <w:w w:val="100"/>
          <w:sz w:val="24"/>
          <w:lang w:eastAsia="it-IT"/>
        </w:rPr>
      </w:pP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 xml:space="preserve">Le misure, progettate dagli organismi di formazione insieme alle istituzioni e alle realtà di produzione artistica che costituiscono il sistema dello spettacolo, hanno risposto a obiettivi formativi differenti: </w:t>
      </w:r>
      <w:r w:rsidRPr="00ED3C44"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  <w:t>percorsi di alta formazione</w:t>
      </w: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 xml:space="preserve"> (300/1.000 ore) a sostegno dell’innovazione del sistema regionale dello spettacolo; </w:t>
      </w:r>
      <w:r w:rsidRPr="00ED3C44"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  <w:t>percorsi di formazione professionalizzanti</w:t>
      </w: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 xml:space="preserve"> (240/600 ore) per conseguire un certificato di competenze o una qualifica professionale; </w:t>
      </w:r>
      <w:r w:rsidRPr="00ED3C44">
        <w:rPr>
          <w:rFonts w:asciiTheme="minorHAnsi" w:hAnsiTheme="minorHAnsi" w:cstheme="minorHAnsi"/>
          <w:b/>
          <w:bCs/>
          <w:color w:val="1C2024"/>
          <w:w w:val="100"/>
          <w:sz w:val="24"/>
          <w:lang w:eastAsia="it-IT"/>
        </w:rPr>
        <w:t>percorsi di formazione permanente</w:t>
      </w: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t xml:space="preserve"> (50/150 ore) per acquisire competenze tecniche, professionali e trasversali.</w:t>
      </w:r>
      <w:r w:rsidRPr="00ED3C44">
        <w:rPr>
          <w:rFonts w:asciiTheme="minorHAnsi" w:hAnsiTheme="minorHAnsi" w:cstheme="minorHAnsi"/>
          <w:color w:val="1C2024"/>
          <w:w w:val="100"/>
          <w:sz w:val="24"/>
          <w:lang w:eastAsia="it-IT"/>
        </w:rPr>
        <w:br/>
        <w:t>I percorsi rispondono alle esigenze tipiche del settore soprattutto sul versante artistico, della esibizione teatrale, canora e musicale, oltre che ai processi di lavoro più tecnici funzionali alla produzione di uno spettacolo (luci, suono).</w:t>
      </w:r>
    </w:p>
    <w:p w14:paraId="3E8D798D" w14:textId="77777777" w:rsidR="00AD0708" w:rsidRPr="00E63BC6" w:rsidRDefault="00AD0708" w:rsidP="00AD0708">
      <w:pPr>
        <w:suppressAutoHyphens w:val="0"/>
        <w:rPr>
          <w:rFonts w:ascii="Arial" w:hAnsi="Arial" w:cs="Arial"/>
          <w:color w:val="1C2024"/>
          <w:w w:val="100"/>
          <w:sz w:val="22"/>
          <w:szCs w:val="22"/>
          <w:lang w:eastAsia="it-IT"/>
        </w:rPr>
      </w:pPr>
      <w:r>
        <w:rPr>
          <w:rFonts w:ascii="Arial" w:hAnsi="Arial" w:cs="Arial"/>
          <w:color w:val="1C2024"/>
          <w:w w:val="100"/>
          <w:sz w:val="22"/>
          <w:szCs w:val="22"/>
          <w:lang w:eastAsia="it-IT"/>
        </w:rPr>
        <w:br/>
      </w:r>
    </w:p>
    <w:p w14:paraId="547CE69F" w14:textId="77777777" w:rsidR="00AD0708" w:rsidRPr="005E1181" w:rsidRDefault="00AD0708" w:rsidP="00AD0708">
      <w:pPr>
        <w:rPr>
          <w:rFonts w:ascii="Arial" w:hAnsi="Arial" w:cs="Arial"/>
          <w:i/>
          <w:iCs/>
          <w:w w:val="100"/>
          <w:sz w:val="22"/>
          <w:szCs w:val="22"/>
        </w:rPr>
      </w:pPr>
    </w:p>
    <w:p w14:paraId="56A837C7" w14:textId="77777777" w:rsidR="00AD0708" w:rsidRDefault="00AD0708" w:rsidP="00AD0708">
      <w:pPr>
        <w:jc w:val="both"/>
        <w:rPr>
          <w:rFonts w:ascii="Arial" w:hAnsi="Arial" w:cs="Arial"/>
          <w:w w:val="100"/>
          <w:sz w:val="24"/>
        </w:rPr>
      </w:pPr>
    </w:p>
    <w:p w14:paraId="0E70BB37" w14:textId="77777777" w:rsidR="00AD0708" w:rsidRDefault="00AD0708" w:rsidP="00AD0708">
      <w:pPr>
        <w:jc w:val="both"/>
        <w:rPr>
          <w:rFonts w:ascii="Arial" w:hAnsi="Arial" w:cs="Arial"/>
          <w:w w:val="100"/>
          <w:sz w:val="24"/>
        </w:rPr>
      </w:pPr>
    </w:p>
    <w:p w14:paraId="15CAF25E" w14:textId="77777777" w:rsidR="00AD0708" w:rsidRDefault="00AD0708" w:rsidP="00AD0708">
      <w:pPr>
        <w:jc w:val="both"/>
        <w:rPr>
          <w:rFonts w:ascii="Arial" w:hAnsi="Arial" w:cs="Arial"/>
          <w:w w:val="100"/>
          <w:sz w:val="24"/>
        </w:rPr>
      </w:pPr>
    </w:p>
    <w:p w14:paraId="7FCECB1C" w14:textId="77777777" w:rsidR="003C26B7" w:rsidRDefault="003C26B7"/>
    <w:sectPr w:rsidR="003C26B7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44"/>
    <w:rsid w:val="003C26B7"/>
    <w:rsid w:val="00527544"/>
    <w:rsid w:val="00A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C7FB"/>
  <w15:chartTrackingRefBased/>
  <w15:docId w15:val="{AB1ABDD2-3AE6-4675-B6F8-12BA3E54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0708"/>
    <w:pPr>
      <w:suppressAutoHyphens/>
      <w:spacing w:after="0" w:line="240" w:lineRule="auto"/>
    </w:pPr>
    <w:rPr>
      <w:rFonts w:ascii="Antique Olive" w:eastAsia="Times New Roman" w:hAnsi="Antique Olive" w:cs="Times New Roman"/>
      <w:w w:val="90"/>
      <w:sz w:val="19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>Regione Emilia-Romagna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2022-02-09T12:02:00Z</dcterms:created>
  <dcterms:modified xsi:type="dcterms:W3CDTF">2022-02-09T12:03:00Z</dcterms:modified>
</cp:coreProperties>
</file>