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7C090" w14:textId="66F0D38B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ALLEGATO</w:t>
      </w:r>
      <w:r w:rsidR="00D40850">
        <w:rPr>
          <w:rFonts w:cstheme="minorHAnsi"/>
          <w:sz w:val="24"/>
          <w:szCs w:val="24"/>
        </w:rPr>
        <w:t xml:space="preserve"> </w:t>
      </w:r>
      <w:r w:rsidR="00606C5D">
        <w:rPr>
          <w:rFonts w:cstheme="minorHAnsi"/>
          <w:sz w:val="24"/>
          <w:szCs w:val="24"/>
        </w:rPr>
        <w:t>“</w:t>
      </w:r>
      <w:r w:rsidRPr="00DC3E0A">
        <w:rPr>
          <w:rFonts w:cstheme="minorHAnsi"/>
          <w:sz w:val="24"/>
          <w:szCs w:val="24"/>
        </w:rPr>
        <w:br/>
      </w:r>
    </w:p>
    <w:p w14:paraId="4E23302D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DC3E0A">
        <w:rPr>
          <w:rFonts w:cstheme="minorHAnsi"/>
          <w:b/>
          <w:bCs/>
          <w:sz w:val="24"/>
          <w:szCs w:val="24"/>
        </w:rPr>
        <w:t>Il progetto di legge della Giunta regionale</w:t>
      </w:r>
    </w:p>
    <w:p w14:paraId="36FBFC59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Parte dal fatto che la Regione </w:t>
      </w:r>
      <w:r w:rsidRPr="00DC3E0A">
        <w:rPr>
          <w:rFonts w:cstheme="minorHAnsi"/>
          <w:b/>
          <w:bCs/>
          <w:sz w:val="24"/>
          <w:szCs w:val="24"/>
        </w:rPr>
        <w:t>promuove</w:t>
      </w:r>
      <w:r w:rsidRPr="00DC3E0A">
        <w:rPr>
          <w:rFonts w:cstheme="minorHAnsi"/>
          <w:sz w:val="24"/>
          <w:szCs w:val="24"/>
        </w:rPr>
        <w:t xml:space="preserve"> e </w:t>
      </w:r>
      <w:r w:rsidRPr="00DC3E0A">
        <w:rPr>
          <w:rFonts w:cstheme="minorHAnsi"/>
          <w:b/>
          <w:bCs/>
          <w:sz w:val="24"/>
          <w:szCs w:val="24"/>
        </w:rPr>
        <w:t>sostiene</w:t>
      </w:r>
      <w:r w:rsidRPr="00DC3E0A">
        <w:rPr>
          <w:rFonts w:cstheme="minorHAnsi"/>
          <w:sz w:val="24"/>
          <w:szCs w:val="24"/>
        </w:rPr>
        <w:t xml:space="preserve"> le </w:t>
      </w:r>
      <w:r w:rsidRPr="00DC3E0A">
        <w:rPr>
          <w:rFonts w:cstheme="minorHAnsi"/>
          <w:b/>
          <w:bCs/>
          <w:sz w:val="24"/>
          <w:szCs w:val="24"/>
        </w:rPr>
        <w:t>Comunità energetiche rinnovabili</w:t>
      </w:r>
      <w:r w:rsidRPr="00DC3E0A">
        <w:rPr>
          <w:rFonts w:cstheme="minorHAnsi"/>
          <w:sz w:val="24"/>
          <w:szCs w:val="24"/>
        </w:rPr>
        <w:t xml:space="preserve"> e gli </w:t>
      </w:r>
      <w:bookmarkStart w:id="0" w:name="_Hlk89098515"/>
      <w:r w:rsidRPr="00DC3E0A">
        <w:rPr>
          <w:rFonts w:cstheme="minorHAnsi"/>
          <w:b/>
          <w:bCs/>
          <w:sz w:val="24"/>
          <w:szCs w:val="24"/>
        </w:rPr>
        <w:t>auto-consumatori di energia rinnovabile</w:t>
      </w:r>
      <w:r w:rsidRPr="00DC3E0A">
        <w:rPr>
          <w:rFonts w:cstheme="minorHAnsi"/>
          <w:sz w:val="24"/>
          <w:szCs w:val="24"/>
        </w:rPr>
        <w:t xml:space="preserve"> che agiscono collettivamente</w:t>
      </w:r>
      <w:bookmarkEnd w:id="0"/>
      <w:r w:rsidRPr="00DC3E0A">
        <w:rPr>
          <w:rFonts w:cstheme="minorHAnsi"/>
          <w:sz w:val="24"/>
          <w:szCs w:val="24"/>
        </w:rPr>
        <w:t xml:space="preserve"> agevolando la produzione distribuita, lo scambio, l’accumulo e la cessione di energia rinnovabile per l’autoconsumo, strumenti per la </w:t>
      </w:r>
      <w:r w:rsidRPr="00DC3E0A">
        <w:rPr>
          <w:rFonts w:cstheme="minorHAnsi"/>
          <w:b/>
          <w:bCs/>
          <w:sz w:val="24"/>
          <w:szCs w:val="24"/>
        </w:rPr>
        <w:t>riduzione della povertà energetica e sociale</w:t>
      </w:r>
      <w:r w:rsidRPr="00DC3E0A">
        <w:rPr>
          <w:rFonts w:cstheme="minorHAnsi"/>
          <w:sz w:val="24"/>
          <w:szCs w:val="24"/>
        </w:rPr>
        <w:t xml:space="preserve"> e la realizzazione di forme di efficientamento e di riduzione dei prelievi energetici dalla rete.</w:t>
      </w:r>
    </w:p>
    <w:p w14:paraId="7C0CBF8A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Il Pdl individua le “azioni di sistema” e le misure di sostegno e promozione. Risorse saranno erogate </w:t>
      </w:r>
      <w:r w:rsidRPr="00DC3E0A">
        <w:rPr>
          <w:rFonts w:cstheme="minorHAnsi"/>
          <w:b/>
          <w:bCs/>
          <w:sz w:val="24"/>
          <w:szCs w:val="24"/>
        </w:rPr>
        <w:t>attraverso contributi e strumenti finanziari</w:t>
      </w:r>
      <w:r w:rsidRPr="00DC3E0A">
        <w:rPr>
          <w:rFonts w:cstheme="minorHAnsi"/>
          <w:sz w:val="24"/>
          <w:szCs w:val="24"/>
        </w:rPr>
        <w:t xml:space="preserve">. </w:t>
      </w:r>
    </w:p>
    <w:p w14:paraId="101D0FD7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La Regione </w:t>
      </w:r>
      <w:r w:rsidRPr="00DC3E0A">
        <w:rPr>
          <w:rFonts w:cstheme="minorHAnsi"/>
          <w:b/>
          <w:bCs/>
          <w:sz w:val="24"/>
          <w:szCs w:val="24"/>
        </w:rPr>
        <w:t xml:space="preserve">sosterrà </w:t>
      </w:r>
      <w:r>
        <w:rPr>
          <w:rFonts w:cstheme="minorHAnsi"/>
          <w:b/>
          <w:bCs/>
          <w:sz w:val="24"/>
          <w:szCs w:val="24"/>
        </w:rPr>
        <w:t>le comunità energetiche e l’autoconsumo collettivo fin dalla costituzione</w:t>
      </w:r>
      <w:r w:rsidRPr="007C1B4B"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la progettazione</w:t>
      </w:r>
      <w:r w:rsidRPr="00DC3E0A">
        <w:rPr>
          <w:rFonts w:cstheme="minorHAnsi"/>
          <w:sz w:val="24"/>
          <w:szCs w:val="24"/>
        </w:rPr>
        <w:t xml:space="preserve"> nonché </w:t>
      </w:r>
      <w:r w:rsidRPr="00DC3E0A">
        <w:rPr>
          <w:rFonts w:cstheme="minorHAnsi"/>
          <w:b/>
          <w:bCs/>
          <w:sz w:val="24"/>
          <w:szCs w:val="24"/>
        </w:rPr>
        <w:t xml:space="preserve">l’acquisto e l’installazione </w:t>
      </w:r>
      <w:r w:rsidRPr="00DC3E0A">
        <w:rPr>
          <w:rFonts w:cstheme="minorHAnsi"/>
          <w:sz w:val="24"/>
          <w:szCs w:val="24"/>
        </w:rPr>
        <w:t xml:space="preserve">di impianti di produzione e accumulo dell’energia e delle tecnologie necessarie, oltre che </w:t>
      </w:r>
      <w:r w:rsidRPr="00DC3E0A">
        <w:rPr>
          <w:rFonts w:cstheme="minorHAnsi"/>
          <w:b/>
          <w:bCs/>
          <w:color w:val="000000" w:themeColor="text1"/>
          <w:sz w:val="24"/>
          <w:szCs w:val="24"/>
        </w:rPr>
        <w:t>iniziative di comunicazione</w:t>
      </w:r>
      <w:r w:rsidRPr="00DC3E0A">
        <w:rPr>
          <w:rFonts w:cstheme="minorHAnsi"/>
          <w:color w:val="000000" w:themeColor="text1"/>
          <w:sz w:val="24"/>
          <w:szCs w:val="24"/>
        </w:rPr>
        <w:t>, informazione e partecipazione dei cittadini sui temi dell’energia rinnovabile, de</w:t>
      </w:r>
      <w:r w:rsidRPr="00DC3E0A">
        <w:rPr>
          <w:rFonts w:cstheme="minorHAnsi"/>
          <w:sz w:val="24"/>
          <w:szCs w:val="24"/>
        </w:rPr>
        <w:t xml:space="preserve">ll’autoconsumo e della condivisione dell’energia. </w:t>
      </w:r>
    </w:p>
    <w:p w14:paraId="45F56493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Con gli enti locali, entro un anno dall’entrata in vigore della normativa, la Regione individuerà </w:t>
      </w:r>
      <w:r w:rsidRPr="00DC3E0A">
        <w:rPr>
          <w:rFonts w:cstheme="minorHAnsi"/>
          <w:b/>
          <w:bCs/>
          <w:sz w:val="24"/>
          <w:szCs w:val="24"/>
        </w:rPr>
        <w:t>i tetti degli edifici pubblici</w:t>
      </w:r>
      <w:r w:rsidRPr="00DC3E0A">
        <w:rPr>
          <w:rFonts w:cstheme="minorHAnsi"/>
          <w:sz w:val="24"/>
          <w:szCs w:val="24"/>
        </w:rPr>
        <w:t xml:space="preserve"> e </w:t>
      </w:r>
      <w:r w:rsidRPr="00DC3E0A">
        <w:rPr>
          <w:rFonts w:cstheme="minorHAnsi"/>
          <w:b/>
          <w:bCs/>
          <w:sz w:val="24"/>
          <w:szCs w:val="24"/>
        </w:rPr>
        <w:t>le aree pubbliche</w:t>
      </w:r>
      <w:r w:rsidRPr="00DC3E0A">
        <w:rPr>
          <w:rFonts w:cstheme="minorHAnsi"/>
          <w:sz w:val="24"/>
          <w:szCs w:val="24"/>
        </w:rPr>
        <w:t xml:space="preserve"> da mettere a disposizione per l’installazione degli impianti a servizio delle comunità energetiche rinnovabili.</w:t>
      </w:r>
    </w:p>
    <w:p w14:paraId="72204174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Si prevede che possano beneficiare di contributi maggiorati anche le comunità energetiche tra i cui membri sono presenti enti locali che hanno approvato piani e/o strategie integrate di adattamento e mitigazione dei cambiamenti climatici. </w:t>
      </w:r>
    </w:p>
    <w:p w14:paraId="5A7BE81D" w14:textId="77777777" w:rsidR="00C21409" w:rsidRPr="00DC3E0A" w:rsidRDefault="00C21409" w:rsidP="00C21409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DC3E0A">
        <w:rPr>
          <w:rFonts w:cstheme="minorHAnsi"/>
          <w:sz w:val="24"/>
          <w:szCs w:val="24"/>
        </w:rPr>
        <w:t xml:space="preserve">Verrà istituito un </w:t>
      </w:r>
      <w:r w:rsidRPr="00DC3E0A">
        <w:rPr>
          <w:rFonts w:cstheme="minorHAnsi"/>
          <w:b/>
          <w:bCs/>
          <w:sz w:val="24"/>
          <w:szCs w:val="24"/>
        </w:rPr>
        <w:t>Tavolo tecnico permanente</w:t>
      </w:r>
      <w:r w:rsidRPr="00DC3E0A">
        <w:rPr>
          <w:rFonts w:cstheme="minorHAnsi"/>
          <w:sz w:val="24"/>
          <w:szCs w:val="24"/>
        </w:rPr>
        <w:t xml:space="preserve"> con funzioni consultive e di confronto composto da rappresentanti della Regione, delle associazioni maggiormente rappresentative a livello regionale, Anci ER, </w:t>
      </w:r>
      <w:proofErr w:type="spellStart"/>
      <w:r w:rsidRPr="00DC3E0A">
        <w:rPr>
          <w:rFonts w:cstheme="minorHAnsi"/>
          <w:sz w:val="24"/>
          <w:szCs w:val="24"/>
        </w:rPr>
        <w:t>Upi</w:t>
      </w:r>
      <w:proofErr w:type="spellEnd"/>
      <w:r w:rsidRPr="00DC3E0A">
        <w:rPr>
          <w:rFonts w:cstheme="minorHAnsi"/>
          <w:sz w:val="24"/>
          <w:szCs w:val="24"/>
        </w:rPr>
        <w:t xml:space="preserve"> ER, Enea, nonché dai cluster regionali competenti in materia. </w:t>
      </w:r>
    </w:p>
    <w:p w14:paraId="17B25CD1" w14:textId="77777777" w:rsidR="000F695C" w:rsidRDefault="000F695C"/>
    <w:sectPr w:rsidR="000F6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DE"/>
    <w:rsid w:val="000F695C"/>
    <w:rsid w:val="0050408D"/>
    <w:rsid w:val="00606C5D"/>
    <w:rsid w:val="007C1B4B"/>
    <w:rsid w:val="009F6EDE"/>
    <w:rsid w:val="00C21409"/>
    <w:rsid w:val="00D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040E7"/>
  <w15:chartTrackingRefBased/>
  <w15:docId w15:val="{ECDE81D4-24A6-4DD8-B06A-3DFC9D5C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14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1546</Characters>
  <Application>Microsoft Office Word</Application>
  <DocSecurity>0</DocSecurity>
  <Lines>12</Lines>
  <Paragraphs>3</Paragraphs>
  <ScaleCrop>false</ScaleCrop>
  <Company>Regione Emilia-Romagna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6</cp:revision>
  <dcterms:created xsi:type="dcterms:W3CDTF">2022-02-24T10:16:00Z</dcterms:created>
  <dcterms:modified xsi:type="dcterms:W3CDTF">2022-02-24T10:25:00Z</dcterms:modified>
</cp:coreProperties>
</file>