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8EB1" w14:textId="77777777" w:rsidR="00FA3166" w:rsidRPr="00AB11C5" w:rsidRDefault="00FA3166" w:rsidP="00FA316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B11C5">
        <w:rPr>
          <w:rFonts w:asciiTheme="minorHAnsi" w:hAnsiTheme="minorHAnsi" w:cstheme="minorHAnsi"/>
          <w:b/>
          <w:bCs/>
          <w:sz w:val="24"/>
          <w:szCs w:val="24"/>
        </w:rPr>
        <w:t>Allegato</w:t>
      </w:r>
    </w:p>
    <w:p w14:paraId="414910F6" w14:textId="77777777" w:rsidR="00FA3166" w:rsidRPr="00AB11C5" w:rsidRDefault="00FA3166" w:rsidP="00FA3166">
      <w:pPr>
        <w:spacing w:before="80" w:after="80"/>
        <w:ind w:left="397" w:right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B11C5">
        <w:rPr>
          <w:rFonts w:asciiTheme="minorHAnsi" w:hAnsiTheme="minorHAnsi" w:cstheme="minorHAnsi"/>
          <w:b/>
          <w:bCs/>
          <w:sz w:val="24"/>
          <w:szCs w:val="24"/>
        </w:rPr>
        <w:t xml:space="preserve">ELENCO DELLE PATOLOGIE PER LE QUALI È RACCOMANDATA LA QUARTA DOSE DI VACCINO  </w:t>
      </w:r>
    </w:p>
    <w:p w14:paraId="2B1C8299" w14:textId="77777777" w:rsidR="00FA3166" w:rsidRPr="00AB11C5" w:rsidRDefault="00FA3166" w:rsidP="00FA3166">
      <w:pPr>
        <w:spacing w:before="80" w:after="80"/>
        <w:ind w:left="397" w:right="397"/>
        <w:jc w:val="both"/>
        <w:rPr>
          <w:rFonts w:asciiTheme="minorHAnsi" w:hAnsiTheme="minorHAnsi" w:cstheme="minorHAnsi"/>
          <w:sz w:val="24"/>
          <w:szCs w:val="24"/>
        </w:rPr>
      </w:pPr>
      <w:r w:rsidRPr="00AB11C5">
        <w:rPr>
          <w:rFonts w:asciiTheme="minorHAnsi" w:hAnsiTheme="minorHAnsi" w:cstheme="minorHAnsi"/>
          <w:sz w:val="24"/>
          <w:szCs w:val="24"/>
        </w:rPr>
        <w:t xml:space="preserve">Queste le condizioni patologiche per le quali è prevista la quarta dose, trascorsi 120 giorni dalla somministrazione della terza: </w:t>
      </w:r>
    </w:p>
    <w:p w14:paraId="7FCAEEE9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>trapianto di organo solido in terapia immunosoppressiva;</w:t>
      </w:r>
    </w:p>
    <w:p w14:paraId="273C5DDA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 xml:space="preserve">trapianto di cellule staminali ematopoietiche (entro </w:t>
      </w:r>
      <w:proofErr w:type="gramStart"/>
      <w:r w:rsidRPr="00896F2E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896F2E">
        <w:rPr>
          <w:rFonts w:asciiTheme="minorHAnsi" w:hAnsiTheme="minorHAnsi" w:cstheme="minorHAnsi"/>
          <w:sz w:val="24"/>
          <w:szCs w:val="24"/>
        </w:rPr>
        <w:t xml:space="preserve"> anni dal trapianto o in terapia immunosoppressiva per malattia del trapianto contro l’ospite cronica);</w:t>
      </w:r>
    </w:p>
    <w:p w14:paraId="51E93BC0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>attesa di trapianto d’organo;</w:t>
      </w:r>
    </w:p>
    <w:p w14:paraId="7BA6207E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>terapie a base di cellule T esprimenti un recettore chimerico antigenico (cellule CART);</w:t>
      </w:r>
    </w:p>
    <w:p w14:paraId="2F39899F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 xml:space="preserve">patologia oncologica o onco-ematologica in trattamento con farmaci immunosoppressivi, </w:t>
      </w:r>
      <w:proofErr w:type="spellStart"/>
      <w:r w:rsidRPr="00896F2E">
        <w:rPr>
          <w:rFonts w:asciiTheme="minorHAnsi" w:hAnsiTheme="minorHAnsi" w:cstheme="minorHAnsi"/>
          <w:sz w:val="24"/>
          <w:szCs w:val="24"/>
        </w:rPr>
        <w:t>mielosoppressivi</w:t>
      </w:r>
      <w:proofErr w:type="spellEnd"/>
      <w:r w:rsidRPr="00896F2E">
        <w:rPr>
          <w:rFonts w:asciiTheme="minorHAnsi" w:hAnsiTheme="minorHAnsi" w:cstheme="minorHAnsi"/>
          <w:sz w:val="24"/>
          <w:szCs w:val="24"/>
        </w:rPr>
        <w:t xml:space="preserve"> o a meno di </w:t>
      </w:r>
      <w:proofErr w:type="gramStart"/>
      <w:r w:rsidRPr="00896F2E">
        <w:rPr>
          <w:rFonts w:asciiTheme="minorHAnsi" w:hAnsiTheme="minorHAnsi" w:cstheme="minorHAnsi"/>
          <w:sz w:val="24"/>
          <w:szCs w:val="24"/>
        </w:rPr>
        <w:t>6</w:t>
      </w:r>
      <w:proofErr w:type="gramEnd"/>
      <w:r w:rsidRPr="00896F2E">
        <w:rPr>
          <w:rFonts w:asciiTheme="minorHAnsi" w:hAnsiTheme="minorHAnsi" w:cstheme="minorHAnsi"/>
          <w:sz w:val="24"/>
          <w:szCs w:val="24"/>
        </w:rPr>
        <w:t xml:space="preserve"> mesi dalla sospensione delle cure;</w:t>
      </w:r>
    </w:p>
    <w:p w14:paraId="4D615860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 xml:space="preserve">immunodeficienze primitive (es. sindrome di </w:t>
      </w:r>
      <w:proofErr w:type="spellStart"/>
      <w:r w:rsidRPr="00896F2E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896F2E">
        <w:rPr>
          <w:rFonts w:asciiTheme="minorHAnsi" w:hAnsiTheme="minorHAnsi" w:cstheme="minorHAnsi"/>
          <w:sz w:val="24"/>
          <w:szCs w:val="24"/>
        </w:rPr>
        <w:t xml:space="preserve"> George, sindrome di Wiskott-Aldrich, immunodeficienza comune variabile etc.);</w:t>
      </w:r>
    </w:p>
    <w:p w14:paraId="2A883CE2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>immunodeficienze secondarie a trattamento farmacologico (es: terapia corticosteroidea ad alto dosaggio protratta nel tempo, farmaci immunosoppressori, farmaci biologici con rilevante impatto sulla funzionalità del sistema immunitario etc.);</w:t>
      </w:r>
    </w:p>
    <w:p w14:paraId="4794740E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>dialisi e insufficienza renale cronica grave;</w:t>
      </w:r>
    </w:p>
    <w:p w14:paraId="253521A4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>pregressa splenectomia;</w:t>
      </w:r>
    </w:p>
    <w:p w14:paraId="02586148" w14:textId="77777777" w:rsidR="00FA3166" w:rsidRPr="00896F2E" w:rsidRDefault="00FA3166" w:rsidP="00FA3166">
      <w:pPr>
        <w:pStyle w:val="Paragrafoelenco"/>
        <w:numPr>
          <w:ilvl w:val="0"/>
          <w:numId w:val="1"/>
        </w:numPr>
        <w:spacing w:before="80" w:after="80"/>
        <w:ind w:right="397"/>
        <w:jc w:val="both"/>
        <w:rPr>
          <w:rFonts w:asciiTheme="minorHAnsi" w:hAnsiTheme="minorHAnsi" w:cstheme="minorHAnsi"/>
          <w:sz w:val="24"/>
          <w:szCs w:val="24"/>
        </w:rPr>
      </w:pPr>
      <w:r w:rsidRPr="00896F2E">
        <w:rPr>
          <w:rFonts w:asciiTheme="minorHAnsi" w:hAnsiTheme="minorHAnsi" w:cstheme="minorHAnsi"/>
          <w:sz w:val="24"/>
          <w:szCs w:val="24"/>
        </w:rPr>
        <w:t>sindrome da immunodeficienza acquisita (Aids) con conta dei linfociti T CD4+ &lt; 200cellule/</w:t>
      </w:r>
      <w:proofErr w:type="spellStart"/>
      <w:r w:rsidRPr="00896F2E">
        <w:rPr>
          <w:rFonts w:asciiTheme="minorHAnsi" w:hAnsiTheme="minorHAnsi" w:cstheme="minorHAnsi"/>
          <w:sz w:val="24"/>
          <w:szCs w:val="24"/>
        </w:rPr>
        <w:t>μl</w:t>
      </w:r>
      <w:proofErr w:type="spellEnd"/>
      <w:r w:rsidRPr="00896F2E">
        <w:rPr>
          <w:rFonts w:asciiTheme="minorHAnsi" w:hAnsiTheme="minorHAnsi" w:cstheme="minorHAnsi"/>
          <w:sz w:val="24"/>
          <w:szCs w:val="24"/>
        </w:rPr>
        <w:t xml:space="preserve"> o sulla base di giudizio clinico.</w:t>
      </w:r>
    </w:p>
    <w:p w14:paraId="1398AC53" w14:textId="77777777" w:rsidR="00FA3166" w:rsidRDefault="00FA3166" w:rsidP="00FA3166">
      <w:pPr>
        <w:ind w:left="397" w:right="397"/>
        <w:jc w:val="both"/>
      </w:pPr>
    </w:p>
    <w:p w14:paraId="09140187" w14:textId="77777777" w:rsidR="00161977" w:rsidRDefault="00161977"/>
    <w:sectPr w:rsidR="00161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13C30"/>
    <w:multiLevelType w:val="hybridMultilevel"/>
    <w:tmpl w:val="F5A67828"/>
    <w:lvl w:ilvl="0" w:tplc="90B85AE8"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66"/>
    <w:rsid w:val="00161977"/>
    <w:rsid w:val="00AB3D78"/>
    <w:rsid w:val="00F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9A86"/>
  <w15:chartTrackingRefBased/>
  <w15:docId w15:val="{9009F0D9-0A05-447B-9416-6692C213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166"/>
    <w:rPr>
      <w:rFonts w:ascii="Verdana" w:hAnsi="Verdan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Contini Elena</dc:creator>
  <cp:keywords/>
  <dc:description/>
  <cp:lastModifiedBy>Contini Elena</cp:lastModifiedBy>
  <cp:revision>1</cp:revision>
  <dcterms:created xsi:type="dcterms:W3CDTF">2022-02-23T09:37:00Z</dcterms:created>
  <dcterms:modified xsi:type="dcterms:W3CDTF">2022-02-23T09:37:00Z</dcterms:modified>
</cp:coreProperties>
</file>