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A1335" w14:textId="77777777" w:rsidR="00250CED" w:rsidRPr="00250CED" w:rsidRDefault="00250CED" w:rsidP="0025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50" w:after="150" w:line="240" w:lineRule="auto"/>
        <w:jc w:val="both"/>
        <w:rPr>
          <w:rFonts w:eastAsia="Times New Roman" w:cstheme="minorHAnsi"/>
          <w:b/>
          <w:bCs/>
          <w:bdr w:val="none" w:sz="0" w:space="0" w:color="auto" w:frame="1"/>
          <w:lang w:eastAsia="it-IT"/>
        </w:rPr>
      </w:pPr>
      <w:r w:rsidRPr="00250CED">
        <w:rPr>
          <w:rFonts w:eastAsia="Times New Roman" w:cstheme="minorHAnsi"/>
          <w:b/>
          <w:bCs/>
          <w:bdr w:val="none" w:sz="0" w:space="0" w:color="auto" w:frame="1"/>
          <w:lang w:eastAsia="it-IT"/>
        </w:rPr>
        <w:t>Allegato 2</w:t>
      </w:r>
    </w:p>
    <w:p w14:paraId="0F6FB3D2" w14:textId="77777777" w:rsidR="00250CED" w:rsidRPr="00250CED" w:rsidRDefault="00250CED" w:rsidP="00250CED">
      <w:pPr>
        <w:pBdr>
          <w:left w:val="single" w:sz="36" w:space="4" w:color="FFFFFF"/>
        </w:pBdr>
        <w:shd w:val="clear" w:color="auto" w:fill="FFFFFF"/>
        <w:spacing w:before="150" w:after="150" w:line="240" w:lineRule="auto"/>
        <w:jc w:val="both"/>
        <w:rPr>
          <w:rFonts w:eastAsia="Times New Roman" w:cstheme="minorHAnsi"/>
          <w:b/>
          <w:bCs/>
          <w:bdr w:val="none" w:sz="0" w:space="0" w:color="auto" w:frame="1"/>
          <w:lang w:eastAsia="it-IT"/>
        </w:rPr>
      </w:pPr>
      <w:r w:rsidRPr="00250CED">
        <w:rPr>
          <w:rFonts w:eastAsia="Times New Roman" w:cstheme="minorHAnsi"/>
          <w:b/>
          <w:bCs/>
          <w:bdr w:val="none" w:sz="0" w:space="0" w:color="auto" w:frame="1"/>
          <w:lang w:eastAsia="it-IT"/>
        </w:rPr>
        <w:t>La pianificazione 2021-2023. Genesi del documento, principi generali e priorità</w:t>
      </w:r>
    </w:p>
    <w:p w14:paraId="4B52316A" w14:textId="77777777" w:rsidR="00250CED" w:rsidRPr="00250CED" w:rsidRDefault="00250CED" w:rsidP="00250CED">
      <w:pPr>
        <w:pBdr>
          <w:left w:val="single" w:sz="36" w:space="4" w:color="FFFFFF"/>
        </w:pBdr>
        <w:shd w:val="clear" w:color="auto" w:fill="FFFFFF"/>
        <w:spacing w:before="150" w:after="150" w:line="240" w:lineRule="auto"/>
        <w:jc w:val="both"/>
        <w:rPr>
          <w:rFonts w:eastAsia="Times New Roman" w:cstheme="minorHAnsi"/>
          <w:lang w:eastAsia="it-IT"/>
        </w:rPr>
      </w:pPr>
      <w:r w:rsidRPr="00250CED">
        <w:rPr>
          <w:rFonts w:eastAsia="Times New Roman" w:cstheme="minorHAnsi"/>
          <w:bdr w:val="none" w:sz="0" w:space="0" w:color="auto" w:frame="1"/>
          <w:lang w:eastAsia="it-IT"/>
        </w:rPr>
        <w:t>Il documento è nato con un approccio partecipativo che la pandemia non ha limitato ma semmai rafforzato, perché la comunicazione digitale ha allargato la platea dei partecipanti ai vari tavoli. Si è partiti da una indagine conoscitiva</w:t>
      </w:r>
      <w:r w:rsidRPr="00250CED">
        <w:rPr>
          <w:rFonts w:eastAsia="Times New Roman" w:cstheme="minorHAnsi"/>
          <w:lang w:eastAsia="it-IT"/>
        </w:rPr>
        <w:t> 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 xml:space="preserve">all’inizio del 2021 che ha previsto la somministrazione di un centinaio di questionari coinvolgendo la Consulta della Cooperazione e della Pace, gli enti locali, la società civile, fino a identificare i </w:t>
      </w:r>
      <w:r w:rsidRPr="00250CED">
        <w:rPr>
          <w:rFonts w:eastAsia="Times New Roman" w:cstheme="minorHAnsi"/>
          <w:b/>
          <w:bCs/>
          <w:bdr w:val="none" w:sz="0" w:space="0" w:color="auto" w:frame="1"/>
          <w:lang w:eastAsia="it-IT"/>
        </w:rPr>
        <w:t xml:space="preserve">principi generali 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>per la redazione del nuovo</w:t>
      </w:r>
      <w:r w:rsidRPr="00250CED">
        <w:rPr>
          <w:rFonts w:eastAsia="Times New Roman" w:cstheme="minorHAnsi"/>
          <w:lang w:eastAsia="it-IT"/>
        </w:rPr>
        <w:t> p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 xml:space="preserve">iano. Prima di tutto i processi devono essere costruiti seguendo i cosiddetti </w:t>
      </w:r>
      <w:r w:rsidRPr="00250CED">
        <w:rPr>
          <w:rFonts w:eastAsia="Times New Roman" w:cstheme="minorHAnsi"/>
          <w:b/>
          <w:bCs/>
          <w:bdr w:val="none" w:sz="0" w:space="0" w:color="auto" w:frame="1"/>
          <w:lang w:eastAsia="it-IT"/>
        </w:rPr>
        <w:t>principi di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 xml:space="preserve"> </w:t>
      </w:r>
      <w:r w:rsidRPr="00250CED">
        <w:rPr>
          <w:rFonts w:eastAsia="Times New Roman" w:cstheme="minorHAnsi"/>
          <w:b/>
          <w:bCs/>
          <w:bdr w:val="none" w:sz="0" w:space="0" w:color="auto" w:frame="1"/>
          <w:lang w:eastAsia="it-IT"/>
        </w:rPr>
        <w:t>Busan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 xml:space="preserve"> (rispetto delle</w:t>
      </w:r>
      <w:r w:rsidRPr="00250CED">
        <w:rPr>
          <w:rFonts w:eastAsia="Times New Roman" w:cstheme="minorHAnsi"/>
          <w:lang w:eastAsia="it-IT"/>
        </w:rPr>
        <w:t> 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 xml:space="preserve">priorità delle popolazioni locali, focalizzazione sui risultati, produzione di partenariati inclusivi), poi </w:t>
      </w:r>
      <w:r w:rsidRPr="00250CED">
        <w:rPr>
          <w:rFonts w:eastAsia="Times New Roman" w:cstheme="minorHAnsi"/>
          <w:b/>
          <w:bCs/>
          <w:bdr w:val="none" w:sz="0" w:space="0" w:color="auto" w:frame="1"/>
          <w:lang w:eastAsia="it-IT"/>
        </w:rPr>
        <w:t>la trasparenza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 xml:space="preserve"> e l’</w:t>
      </w:r>
      <w:r w:rsidRPr="00250CED">
        <w:rPr>
          <w:rFonts w:eastAsia="Times New Roman" w:cstheme="minorHAnsi"/>
          <w:b/>
          <w:bCs/>
          <w:bdr w:val="none" w:sz="0" w:space="0" w:color="auto" w:frame="1"/>
          <w:lang w:eastAsia="it-IT"/>
        </w:rPr>
        <w:t>accountability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>. Nel bando sulla cooperazione internazionale</w:t>
      </w:r>
      <w:r w:rsidRPr="00250CED">
        <w:rPr>
          <w:rFonts w:eastAsia="Times New Roman" w:cstheme="minorHAnsi"/>
          <w:lang w:eastAsia="it-IT"/>
        </w:rPr>
        <w:t xml:space="preserve"> saranno previsti 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>anche</w:t>
      </w:r>
      <w:r w:rsidRPr="00250CED">
        <w:rPr>
          <w:rFonts w:eastAsia="Times New Roman" w:cstheme="minorHAnsi"/>
          <w:lang w:eastAsia="it-IT"/>
        </w:rPr>
        <w:t> 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>una parte</w:t>
      </w:r>
      <w:r w:rsidRPr="00250CED">
        <w:rPr>
          <w:rFonts w:eastAsia="Times New Roman" w:cstheme="minorHAnsi"/>
          <w:lang w:eastAsia="it-IT"/>
        </w:rPr>
        <w:t> 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>di progetti rivolti</w:t>
      </w:r>
      <w:r w:rsidRPr="00250CED">
        <w:rPr>
          <w:rFonts w:eastAsia="Times New Roman" w:cstheme="minorHAnsi"/>
          <w:lang w:eastAsia="it-IT"/>
        </w:rPr>
        <w:t> 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>alle emergenze, per garantire maggiore flessibilità.</w:t>
      </w:r>
    </w:p>
    <w:p w14:paraId="2B3E9D34" w14:textId="77777777" w:rsidR="00250CED" w:rsidRPr="00250CED" w:rsidRDefault="00250CED" w:rsidP="00250CED">
      <w:pPr>
        <w:pBdr>
          <w:left w:val="single" w:sz="36" w:space="4" w:color="FFFFFF"/>
        </w:pBdr>
        <w:shd w:val="clear" w:color="auto" w:fill="FFFFFF"/>
        <w:spacing w:before="150" w:after="150" w:line="240" w:lineRule="auto"/>
        <w:jc w:val="both"/>
        <w:rPr>
          <w:rFonts w:eastAsia="Times New Roman" w:cstheme="minorHAnsi"/>
          <w:b/>
          <w:bCs/>
          <w:bdr w:val="none" w:sz="0" w:space="0" w:color="auto" w:frame="1"/>
          <w:lang w:eastAsia="it-IT"/>
        </w:rPr>
      </w:pPr>
      <w:r w:rsidRPr="00250CED">
        <w:rPr>
          <w:rFonts w:eastAsia="Times New Roman" w:cstheme="minorHAnsi"/>
          <w:bdr w:val="none" w:sz="0" w:space="0" w:color="auto" w:frame="1"/>
          <w:lang w:eastAsia="it-IT"/>
        </w:rPr>
        <w:t>Le</w:t>
      </w:r>
      <w:r w:rsidRPr="00250CED">
        <w:rPr>
          <w:rFonts w:eastAsia="Times New Roman" w:cstheme="minorHAnsi"/>
          <w:lang w:eastAsia="it-IT"/>
        </w:rPr>
        <w:t> </w:t>
      </w:r>
      <w:r w:rsidRPr="00250CED">
        <w:rPr>
          <w:rFonts w:eastAsia="Times New Roman" w:cstheme="minorHAnsi"/>
          <w:b/>
          <w:bCs/>
          <w:bdr w:val="none" w:sz="0" w:space="0" w:color="auto" w:frame="1"/>
          <w:lang w:eastAsia="it-IT"/>
        </w:rPr>
        <w:t>priorità tematiche</w:t>
      </w:r>
      <w:r w:rsidRPr="00250CED">
        <w:rPr>
          <w:rFonts w:eastAsia="Times New Roman" w:cstheme="minorHAnsi"/>
          <w:lang w:eastAsia="it-IT"/>
        </w:rPr>
        <w:t> del 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 xml:space="preserve">documento, cioè gli obiettivi trasversali da perseguire sono tre: </w:t>
      </w:r>
      <w:bookmarkStart w:id="0" w:name="_Hlk93565640"/>
      <w:r w:rsidRPr="00250CED">
        <w:rPr>
          <w:rFonts w:eastAsia="Times New Roman" w:cstheme="minorHAnsi"/>
          <w:bdr w:val="none" w:sz="0" w:space="0" w:color="auto" w:frame="1"/>
          <w:lang w:eastAsia="it-IT"/>
        </w:rPr>
        <w:t xml:space="preserve">nesso tra </w:t>
      </w:r>
      <w:r w:rsidRPr="00250CED">
        <w:rPr>
          <w:rFonts w:eastAsia="Times New Roman" w:cstheme="minorHAnsi"/>
          <w:b/>
          <w:bCs/>
          <w:bdr w:val="none" w:sz="0" w:space="0" w:color="auto" w:frame="1"/>
          <w:lang w:eastAsia="it-IT"/>
        </w:rPr>
        <w:t>migrazioni e sviluppo, cambiamenti climatici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 xml:space="preserve">, </w:t>
      </w:r>
      <w:r w:rsidRPr="00250CED">
        <w:rPr>
          <w:rFonts w:eastAsia="Times New Roman" w:cstheme="minorHAnsi"/>
          <w:b/>
          <w:bCs/>
          <w:bdr w:val="none" w:sz="0" w:space="0" w:color="auto" w:frame="1"/>
          <w:lang w:eastAsia="it-IT"/>
        </w:rPr>
        <w:t>uguaglianza</w:t>
      </w:r>
      <w:r w:rsidRPr="00250CED">
        <w:rPr>
          <w:rFonts w:eastAsia="Times New Roman" w:cstheme="minorHAnsi"/>
          <w:b/>
          <w:bCs/>
          <w:lang w:eastAsia="it-IT"/>
        </w:rPr>
        <w:t> </w:t>
      </w:r>
      <w:r w:rsidRPr="00250CED">
        <w:rPr>
          <w:rFonts w:eastAsia="Times New Roman" w:cstheme="minorHAnsi"/>
          <w:b/>
          <w:bCs/>
          <w:bdr w:val="none" w:sz="0" w:space="0" w:color="auto" w:frame="1"/>
          <w:lang w:eastAsia="it-IT"/>
        </w:rPr>
        <w:t>di gener</w:t>
      </w:r>
      <w:bookmarkEnd w:id="0"/>
      <w:r w:rsidRPr="00250CED">
        <w:rPr>
          <w:rFonts w:eastAsia="Times New Roman" w:cstheme="minorHAnsi"/>
          <w:b/>
          <w:bCs/>
          <w:bdr w:val="none" w:sz="0" w:space="0" w:color="auto" w:frame="1"/>
          <w:lang w:eastAsia="it-IT"/>
        </w:rPr>
        <w:t xml:space="preserve">e. </w:t>
      </w:r>
    </w:p>
    <w:p w14:paraId="1C21AABC" w14:textId="77777777" w:rsidR="00250CED" w:rsidRPr="00250CED" w:rsidRDefault="00250CED" w:rsidP="00250CED">
      <w:pPr>
        <w:pBdr>
          <w:left w:val="single" w:sz="36" w:space="4" w:color="FFFFFF"/>
        </w:pBdr>
        <w:shd w:val="clear" w:color="auto" w:fill="FFFFFF"/>
        <w:spacing w:before="150" w:after="150" w:line="240" w:lineRule="auto"/>
        <w:jc w:val="both"/>
        <w:rPr>
          <w:rFonts w:eastAsia="Times New Roman" w:cstheme="minorHAnsi"/>
          <w:b/>
          <w:bCs/>
          <w:bdr w:val="none" w:sz="0" w:space="0" w:color="auto" w:frame="1"/>
          <w:lang w:eastAsia="it-IT"/>
        </w:rPr>
      </w:pPr>
      <w:r w:rsidRPr="00250CED">
        <w:rPr>
          <w:rFonts w:eastAsia="Times New Roman" w:cstheme="minorHAnsi"/>
          <w:b/>
          <w:bCs/>
          <w:bdr w:val="none" w:sz="0" w:space="0" w:color="auto" w:frame="1"/>
          <w:lang w:eastAsia="it-IT"/>
        </w:rPr>
        <w:t>Aree geografiche prioritarie</w:t>
      </w:r>
    </w:p>
    <w:p w14:paraId="529FB5C7" w14:textId="77777777" w:rsidR="00250CED" w:rsidRPr="00250CED" w:rsidRDefault="00250CED" w:rsidP="00250CED">
      <w:pPr>
        <w:pBdr>
          <w:left w:val="single" w:sz="36" w:space="4" w:color="FFFFFF"/>
        </w:pBdr>
        <w:shd w:val="clear" w:color="auto" w:fill="FFFFFF"/>
        <w:spacing w:before="150" w:after="150" w:line="240" w:lineRule="auto"/>
        <w:jc w:val="both"/>
        <w:rPr>
          <w:rFonts w:eastAsia="Times New Roman" w:cstheme="minorHAnsi"/>
          <w:bdr w:val="none" w:sz="0" w:space="0" w:color="auto" w:frame="1"/>
          <w:lang w:eastAsia="it-IT"/>
        </w:rPr>
      </w:pPr>
      <w:r w:rsidRPr="00250CED">
        <w:rPr>
          <w:rFonts w:eastAsia="Times New Roman" w:cstheme="minorHAnsi"/>
          <w:bdr w:val="none" w:sz="0" w:space="0" w:color="auto" w:frame="1"/>
          <w:lang w:eastAsia="it-IT"/>
        </w:rPr>
        <w:t>Le</w:t>
      </w:r>
      <w:r w:rsidRPr="00250CED">
        <w:rPr>
          <w:rFonts w:eastAsia="Times New Roman" w:cstheme="minorHAnsi"/>
          <w:lang w:eastAsia="it-IT"/>
        </w:rPr>
        <w:t> 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>aree geografiche</w:t>
      </w:r>
      <w:r w:rsidRPr="00250CED">
        <w:rPr>
          <w:rFonts w:eastAsia="Times New Roman" w:cstheme="minorHAnsi"/>
          <w:lang w:eastAsia="it-IT"/>
        </w:rPr>
        <w:t> 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>prioritarie, individuate tramite le consultazioni, in coerenza con le politiche internazionali o scelte in continuità con relazioni già esistenti sono l’</w:t>
      </w:r>
      <w:r w:rsidRPr="00250CED">
        <w:rPr>
          <w:rFonts w:eastAsia="Times New Roman" w:cstheme="minorHAnsi"/>
          <w:b/>
          <w:bCs/>
          <w:bdr w:val="none" w:sz="0" w:space="0" w:color="auto" w:frame="1"/>
          <w:lang w:eastAsia="it-IT"/>
        </w:rPr>
        <w:t>area</w:t>
      </w:r>
      <w:r w:rsidRPr="00250CED">
        <w:rPr>
          <w:rFonts w:eastAsia="Times New Roman" w:cstheme="minorHAnsi"/>
          <w:b/>
          <w:bCs/>
          <w:lang w:eastAsia="it-IT"/>
        </w:rPr>
        <w:t> </w:t>
      </w:r>
      <w:r w:rsidRPr="00250CED">
        <w:rPr>
          <w:rFonts w:eastAsia="Times New Roman" w:cstheme="minorHAnsi"/>
          <w:b/>
          <w:bCs/>
          <w:bdr w:val="none" w:sz="0" w:space="0" w:color="auto" w:frame="1"/>
          <w:lang w:eastAsia="it-IT"/>
        </w:rPr>
        <w:t xml:space="preserve">balcanica 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>(Albania, Bosnia-Erzegovina, Macedonia del Nord, Montenegro, Kosovo, Serbia) per ciò che concerne i</w:t>
      </w:r>
      <w:r w:rsidRPr="00250CED">
        <w:rPr>
          <w:rFonts w:eastAsia="Times New Roman" w:cstheme="minorHAnsi"/>
          <w:lang w:eastAsia="it-IT"/>
        </w:rPr>
        <w:t> 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>processi partecipativi e la trasparenza, l’</w:t>
      </w:r>
      <w:r w:rsidRPr="00250CED">
        <w:rPr>
          <w:rFonts w:eastAsia="Times New Roman" w:cstheme="minorHAnsi"/>
          <w:b/>
          <w:bCs/>
          <w:bdr w:val="none" w:sz="0" w:space="0" w:color="auto" w:frame="1"/>
          <w:lang w:eastAsia="it-IT"/>
        </w:rPr>
        <w:t>America Latina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>,</w:t>
      </w:r>
      <w:r w:rsidRPr="00250CED">
        <w:rPr>
          <w:rFonts w:eastAsia="Times New Roman" w:cstheme="minorHAnsi"/>
          <w:lang w:eastAsia="it-IT"/>
        </w:rPr>
        <w:t> 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>in particolare</w:t>
      </w:r>
      <w:r w:rsidRPr="00250CED">
        <w:rPr>
          <w:rFonts w:eastAsia="Times New Roman" w:cstheme="minorHAnsi"/>
          <w:lang w:eastAsia="it-IT"/>
        </w:rPr>
        <w:t> 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>per quanto riguarda il rafforzamento</w:t>
      </w:r>
      <w:r w:rsidRPr="00250CED">
        <w:rPr>
          <w:rFonts w:eastAsia="Times New Roman" w:cstheme="minorHAnsi"/>
          <w:lang w:eastAsia="it-IT"/>
        </w:rPr>
        <w:t> 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>del sistema di</w:t>
      </w:r>
      <w:r w:rsidRPr="00250CED">
        <w:rPr>
          <w:rFonts w:eastAsia="Times New Roman" w:cstheme="minorHAnsi"/>
          <w:lang w:eastAsia="it-IT"/>
        </w:rPr>
        <w:t> 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>salute territoriale in Brasile,</w:t>
      </w:r>
      <w:r w:rsidRPr="00250CED">
        <w:rPr>
          <w:rFonts w:eastAsia="Times New Roman" w:cstheme="minorHAnsi"/>
          <w:lang w:eastAsia="it-IT"/>
        </w:rPr>
        <w:t> </w:t>
      </w:r>
      <w:r w:rsidRPr="00250CED">
        <w:rPr>
          <w:rFonts w:eastAsia="Times New Roman" w:cstheme="minorHAnsi"/>
          <w:b/>
          <w:bCs/>
          <w:lang w:eastAsia="it-IT"/>
        </w:rPr>
        <w:t>l’</w:t>
      </w:r>
      <w:r w:rsidRPr="00250CED">
        <w:rPr>
          <w:rFonts w:eastAsia="Times New Roman" w:cstheme="minorHAnsi"/>
          <w:b/>
          <w:bCs/>
          <w:bdr w:val="none" w:sz="0" w:space="0" w:color="auto" w:frame="1"/>
          <w:lang w:eastAsia="it-IT"/>
        </w:rPr>
        <w:t xml:space="preserve">Africa subsahariana 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>(Burundi, Burkina Faso, Camerun, Costa D’Avorio, Kenya, Etiopia, Mozambico, Senegal)</w:t>
      </w:r>
      <w:r w:rsidRPr="00250CED">
        <w:rPr>
          <w:rFonts w:eastAsia="Times New Roman" w:cstheme="minorHAnsi"/>
          <w:lang w:eastAsia="it-IT"/>
        </w:rPr>
        <w:t> 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>e</w:t>
      </w:r>
      <w:r w:rsidRPr="00250CED">
        <w:rPr>
          <w:rFonts w:eastAsia="Times New Roman" w:cstheme="minorHAnsi"/>
          <w:lang w:eastAsia="it-IT"/>
        </w:rPr>
        <w:t> l’</w:t>
      </w:r>
      <w:r w:rsidRPr="00250CED">
        <w:rPr>
          <w:rFonts w:eastAsia="Times New Roman" w:cstheme="minorHAnsi"/>
          <w:b/>
          <w:bCs/>
          <w:bdr w:val="none" w:sz="0" w:space="0" w:color="auto" w:frame="1"/>
          <w:lang w:eastAsia="it-IT"/>
        </w:rPr>
        <w:t xml:space="preserve">Africa mediterranea 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>(Tunisia, Marocco, Campi profughi Saharawi in Algeria e Territori liberati del Sahara Occidentale​)</w:t>
      </w:r>
      <w:r w:rsidRPr="00250CED">
        <w:rPr>
          <w:rFonts w:eastAsia="Times New Roman" w:cstheme="minorHAnsi"/>
          <w:b/>
          <w:bCs/>
          <w:bdr w:val="none" w:sz="0" w:space="0" w:color="auto" w:frame="1"/>
          <w:lang w:eastAsia="it-IT"/>
        </w:rPr>
        <w:t xml:space="preserve"> 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>per la lotta alla povertà</w:t>
      </w:r>
      <w:r w:rsidRPr="00250CED">
        <w:rPr>
          <w:rFonts w:eastAsia="Times New Roman" w:cstheme="minorHAnsi"/>
          <w:lang w:eastAsia="it-IT"/>
        </w:rPr>
        <w:t> 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>e per lo sviluppo economico</w:t>
      </w:r>
      <w:r w:rsidRPr="00250CED">
        <w:rPr>
          <w:rFonts w:eastAsia="Times New Roman" w:cstheme="minorHAnsi"/>
          <w:lang w:eastAsia="it-IT"/>
        </w:rPr>
        <w:t> 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>e sociale sostenibile, il</w:t>
      </w:r>
      <w:r w:rsidRPr="00250CED">
        <w:rPr>
          <w:rFonts w:eastAsia="Times New Roman" w:cstheme="minorHAnsi"/>
          <w:lang w:eastAsia="it-IT"/>
        </w:rPr>
        <w:t> </w:t>
      </w:r>
      <w:r w:rsidRPr="00250CED">
        <w:rPr>
          <w:rFonts w:eastAsia="Times New Roman" w:cstheme="minorHAnsi"/>
          <w:b/>
          <w:bCs/>
          <w:bdr w:val="none" w:sz="0" w:space="0" w:color="auto" w:frame="1"/>
          <w:lang w:eastAsia="it-IT"/>
        </w:rPr>
        <w:t xml:space="preserve">Medio Oriente 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>(Territori Autonomia Palestinese, Libano​) per la  promozione dei</w:t>
      </w:r>
      <w:r w:rsidRPr="00250CED">
        <w:rPr>
          <w:rFonts w:eastAsia="Times New Roman" w:cstheme="minorHAnsi"/>
          <w:lang w:eastAsia="it-IT"/>
        </w:rPr>
        <w:t> 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>diritti, l’</w:t>
      </w:r>
      <w:r w:rsidRPr="00250CED">
        <w:rPr>
          <w:rFonts w:eastAsia="Times New Roman" w:cstheme="minorHAnsi"/>
          <w:b/>
          <w:bCs/>
          <w:bdr w:val="none" w:sz="0" w:space="0" w:color="auto" w:frame="1"/>
          <w:lang w:eastAsia="it-IT"/>
        </w:rPr>
        <w:t>Europa</w:t>
      </w:r>
      <w:r w:rsidRPr="00250CED">
        <w:rPr>
          <w:rFonts w:eastAsia="Times New Roman" w:cstheme="minorHAnsi"/>
          <w:b/>
          <w:bCs/>
          <w:lang w:eastAsia="it-IT"/>
        </w:rPr>
        <w:t> </w:t>
      </w:r>
      <w:r w:rsidRPr="00250CED">
        <w:rPr>
          <w:rFonts w:eastAsia="Times New Roman" w:cstheme="minorHAnsi"/>
          <w:b/>
          <w:bCs/>
          <w:bdr w:val="none" w:sz="0" w:space="0" w:color="auto" w:frame="1"/>
          <w:lang w:eastAsia="it-IT"/>
        </w:rPr>
        <w:t>orientale</w:t>
      </w:r>
      <w:r w:rsidRPr="00250CED">
        <w:rPr>
          <w:rFonts w:eastAsia="Times New Roman" w:cstheme="minorHAnsi"/>
          <w:lang w:eastAsia="it-IT"/>
        </w:rPr>
        <w:t xml:space="preserve"> (Bielorussia, Ucraina​) per la 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>cooperazione</w:t>
      </w:r>
      <w:r w:rsidRPr="00250CED">
        <w:rPr>
          <w:rFonts w:eastAsia="Times New Roman" w:cstheme="minorHAnsi"/>
          <w:lang w:eastAsia="it-IT"/>
        </w:rPr>
        <w:t> 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>in ambito sanitario</w:t>
      </w:r>
      <w:r w:rsidRPr="00250CED">
        <w:rPr>
          <w:rFonts w:eastAsia="Times New Roman" w:cstheme="minorHAnsi"/>
          <w:lang w:eastAsia="it-IT"/>
        </w:rPr>
        <w:t> 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>e per lo sviluppo</w:t>
      </w:r>
      <w:r w:rsidRPr="00250CED">
        <w:rPr>
          <w:rFonts w:eastAsia="Times New Roman" w:cstheme="minorHAnsi"/>
          <w:lang w:eastAsia="it-IT"/>
        </w:rPr>
        <w:t> 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>socioeconomico.</w:t>
      </w:r>
      <w:r w:rsidRPr="00250CED">
        <w:rPr>
          <w:rFonts w:eastAsia="Times New Roman" w:cstheme="minorHAnsi"/>
          <w:lang w:eastAsia="it-IT"/>
        </w:rPr>
        <w:t> </w:t>
      </w:r>
    </w:p>
    <w:p w14:paraId="540D7812" w14:textId="77777777" w:rsidR="00250CED" w:rsidRPr="00250CED" w:rsidRDefault="00250CED" w:rsidP="00250CED">
      <w:pPr>
        <w:pBdr>
          <w:left w:val="single" w:sz="36" w:space="4" w:color="FFFFFF"/>
        </w:pBdr>
        <w:shd w:val="clear" w:color="auto" w:fill="FFFFFF"/>
        <w:spacing w:before="150" w:after="150" w:line="240" w:lineRule="auto"/>
        <w:jc w:val="both"/>
        <w:rPr>
          <w:rFonts w:eastAsia="Times New Roman" w:cstheme="minorHAnsi"/>
          <w:b/>
          <w:bCs/>
          <w:lang w:eastAsia="it-IT"/>
        </w:rPr>
      </w:pPr>
      <w:r w:rsidRPr="00250CED">
        <w:rPr>
          <w:rFonts w:eastAsia="Times New Roman" w:cstheme="minorHAnsi"/>
          <w:b/>
          <w:bCs/>
          <w:lang w:eastAsia="it-IT"/>
        </w:rPr>
        <w:t xml:space="preserve">Strumenti </w:t>
      </w:r>
    </w:p>
    <w:p w14:paraId="23C43025" w14:textId="77777777" w:rsidR="00250CED" w:rsidRPr="00250CED" w:rsidRDefault="00250CED" w:rsidP="00250CED">
      <w:pPr>
        <w:pBdr>
          <w:left w:val="single" w:sz="36" w:space="4" w:color="FFFFFF"/>
        </w:pBdr>
        <w:shd w:val="clear" w:color="auto" w:fill="FFFFFF"/>
        <w:spacing w:before="150" w:after="150" w:line="240" w:lineRule="auto"/>
        <w:jc w:val="both"/>
        <w:rPr>
          <w:rFonts w:eastAsia="Times New Roman" w:cstheme="minorHAnsi"/>
          <w:lang w:eastAsia="it-IT"/>
        </w:rPr>
      </w:pPr>
      <w:r w:rsidRPr="00250CED">
        <w:rPr>
          <w:rFonts w:eastAsia="Times New Roman" w:cstheme="minorHAnsi"/>
          <w:bdr w:val="none" w:sz="0" w:space="0" w:color="auto" w:frame="1"/>
          <w:lang w:eastAsia="it-IT"/>
        </w:rPr>
        <w:t xml:space="preserve">I </w:t>
      </w:r>
      <w:r w:rsidRPr="00250CED">
        <w:rPr>
          <w:rFonts w:eastAsia="Times New Roman" w:cstheme="minorHAnsi"/>
          <w:b/>
          <w:bCs/>
          <w:bdr w:val="none" w:sz="0" w:space="0" w:color="auto" w:frame="1"/>
          <w:lang w:eastAsia="it-IT"/>
        </w:rPr>
        <w:t>progetti</w:t>
      </w:r>
      <w:r w:rsidRPr="00250CED">
        <w:rPr>
          <w:rFonts w:eastAsia="Times New Roman" w:cstheme="minorHAnsi"/>
          <w:b/>
          <w:bCs/>
          <w:lang w:eastAsia="it-IT"/>
        </w:rPr>
        <w:t> </w:t>
      </w:r>
      <w:r w:rsidRPr="00250CED">
        <w:rPr>
          <w:rFonts w:eastAsia="Times New Roman" w:cstheme="minorHAnsi"/>
          <w:b/>
          <w:bCs/>
          <w:bdr w:val="none" w:sz="0" w:space="0" w:color="auto" w:frame="1"/>
          <w:lang w:eastAsia="it-IT"/>
        </w:rPr>
        <w:t>ordinari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 xml:space="preserve"> si realizzano attraverso bandi</w:t>
      </w:r>
      <w:r w:rsidRPr="00250CED">
        <w:rPr>
          <w:rFonts w:eastAsia="Times New Roman" w:cstheme="minorHAnsi"/>
          <w:lang w:eastAsia="it-IT"/>
        </w:rPr>
        <w:t> 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>annuali nei paesi individuati, che prevedono un cofinanziamento</w:t>
      </w:r>
      <w:r w:rsidRPr="00250CED">
        <w:rPr>
          <w:rFonts w:eastAsia="Times New Roman" w:cstheme="minorHAnsi"/>
          <w:lang w:eastAsia="it-IT"/>
        </w:rPr>
        <w:t> 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>al</w:t>
      </w:r>
      <w:r w:rsidRPr="00250CED">
        <w:rPr>
          <w:rFonts w:eastAsia="Times New Roman" w:cstheme="minorHAnsi"/>
          <w:lang w:eastAsia="it-IT"/>
        </w:rPr>
        <w:t> 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>70 per cento. I</w:t>
      </w:r>
      <w:r w:rsidRPr="00250CED">
        <w:rPr>
          <w:rFonts w:eastAsia="Times New Roman" w:cstheme="minorHAnsi"/>
          <w:lang w:eastAsia="it-IT"/>
        </w:rPr>
        <w:t> </w:t>
      </w:r>
      <w:r w:rsidRPr="00250CED">
        <w:rPr>
          <w:rFonts w:eastAsia="Times New Roman" w:cstheme="minorHAnsi"/>
          <w:b/>
          <w:bCs/>
          <w:bdr w:val="none" w:sz="0" w:space="0" w:color="auto" w:frame="1"/>
          <w:lang w:eastAsia="it-IT"/>
        </w:rPr>
        <w:t>progetti strategici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 xml:space="preserve"> si svolgono</w:t>
      </w:r>
      <w:r w:rsidRPr="00250CED">
        <w:rPr>
          <w:rFonts w:eastAsia="Times New Roman" w:cstheme="minorHAnsi"/>
          <w:lang w:eastAsia="it-IT"/>
        </w:rPr>
        <w:t xml:space="preserve"> tramite 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>avvisi pubblici</w:t>
      </w:r>
      <w:r w:rsidRPr="00250CED">
        <w:rPr>
          <w:rFonts w:eastAsia="Times New Roman" w:cstheme="minorHAnsi"/>
          <w:lang w:eastAsia="it-IT"/>
        </w:rPr>
        <w:t> 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>per l’individuazione</w:t>
      </w:r>
      <w:r w:rsidRPr="00250CED">
        <w:rPr>
          <w:rFonts w:eastAsia="Times New Roman" w:cstheme="minorHAnsi"/>
          <w:lang w:eastAsia="it-IT"/>
        </w:rPr>
        <w:t> 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>dei soggetti che realizzano</w:t>
      </w:r>
      <w:r w:rsidRPr="00250CED">
        <w:rPr>
          <w:rFonts w:eastAsia="Times New Roman" w:cstheme="minorHAnsi"/>
          <w:lang w:eastAsia="it-IT"/>
        </w:rPr>
        <w:t> 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 xml:space="preserve">gli interventi. I progetti di </w:t>
      </w:r>
      <w:r w:rsidRPr="00250CED">
        <w:rPr>
          <w:rFonts w:eastAsia="Times New Roman" w:cstheme="minorHAnsi"/>
          <w:b/>
          <w:bCs/>
          <w:bdr w:val="none" w:sz="0" w:space="0" w:color="auto" w:frame="1"/>
          <w:lang w:eastAsia="it-IT"/>
        </w:rPr>
        <w:t>emergenza</w:t>
      </w:r>
      <w:r w:rsidRPr="00250CED">
        <w:rPr>
          <w:rFonts w:eastAsia="Times New Roman" w:cstheme="minorHAnsi"/>
          <w:b/>
          <w:bCs/>
          <w:lang w:eastAsia="it-IT"/>
        </w:rPr>
        <w:t> 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>e di</w:t>
      </w:r>
      <w:r w:rsidRPr="00250CED">
        <w:rPr>
          <w:rFonts w:eastAsia="Times New Roman" w:cstheme="minorHAnsi"/>
          <w:b/>
          <w:bCs/>
          <w:bdr w:val="none" w:sz="0" w:space="0" w:color="auto" w:frame="1"/>
          <w:lang w:eastAsia="it-IT"/>
        </w:rPr>
        <w:t xml:space="preserve"> aiuto umanitario</w:t>
      </w:r>
      <w:r w:rsidRPr="00250CED">
        <w:rPr>
          <w:rFonts w:eastAsia="Times New Roman" w:cstheme="minorHAnsi"/>
          <w:lang w:eastAsia="it-IT"/>
        </w:rPr>
        <w:t> 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>sono finanziati al</w:t>
      </w:r>
      <w:r w:rsidRPr="00250CED">
        <w:rPr>
          <w:rFonts w:eastAsia="Times New Roman" w:cstheme="minorHAnsi"/>
          <w:lang w:eastAsia="it-IT"/>
        </w:rPr>
        <w:t> 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>100 per cento senza vincoli di natura geografica. Le attività di progettazione, in caso di emergenza,</w:t>
      </w:r>
      <w:r w:rsidRPr="00250CED">
        <w:rPr>
          <w:rFonts w:eastAsia="Times New Roman" w:cstheme="minorHAnsi"/>
          <w:lang w:eastAsia="it-IT"/>
        </w:rPr>
        <w:t> 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>saranno aperte</w:t>
      </w:r>
      <w:r w:rsidRPr="00250CED">
        <w:rPr>
          <w:rFonts w:eastAsia="Times New Roman" w:cstheme="minorHAnsi"/>
          <w:lang w:eastAsia="it-IT"/>
        </w:rPr>
        <w:t> 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>alla possibilità</w:t>
      </w:r>
      <w:r w:rsidRPr="00250CED">
        <w:rPr>
          <w:rFonts w:eastAsia="Times New Roman" w:cstheme="minorHAnsi"/>
          <w:lang w:eastAsia="it-IT"/>
        </w:rPr>
        <w:t xml:space="preserve"> di partecipare a bandi di altri donatori​ e cofinanziare progetti sostenuti da altri donatori​ 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>a livello</w:t>
      </w:r>
      <w:r w:rsidRPr="00250CED">
        <w:rPr>
          <w:rFonts w:eastAsia="Times New Roman" w:cstheme="minorHAnsi"/>
          <w:lang w:eastAsia="it-IT"/>
        </w:rPr>
        <w:t> </w:t>
      </w:r>
      <w:r w:rsidRPr="00250CED">
        <w:rPr>
          <w:rFonts w:eastAsia="Times New Roman" w:cstheme="minorHAnsi"/>
          <w:bdr w:val="none" w:sz="0" w:space="0" w:color="auto" w:frame="1"/>
          <w:lang w:eastAsia="it-IT"/>
        </w:rPr>
        <w:t>nazionale e a livello europeo.</w:t>
      </w:r>
      <w:r w:rsidRPr="00250CED">
        <w:rPr>
          <w:rFonts w:eastAsia="Times New Roman" w:cstheme="minorHAnsi"/>
          <w:lang w:eastAsia="it-IT"/>
        </w:rPr>
        <w:t> /CC</w:t>
      </w:r>
    </w:p>
    <w:p w14:paraId="3877BA9B" w14:textId="77777777" w:rsidR="00250CED" w:rsidRPr="00250CED" w:rsidRDefault="00250CED" w:rsidP="00250CED">
      <w:pPr>
        <w:pBdr>
          <w:left w:val="single" w:sz="36" w:space="4" w:color="FFFFFF"/>
        </w:pBdr>
        <w:shd w:val="clear" w:color="auto" w:fill="FFFFFF"/>
        <w:spacing w:before="80" w:after="80" w:line="240" w:lineRule="auto"/>
        <w:jc w:val="both"/>
        <w:rPr>
          <w:rFonts w:eastAsia="Times New Roman" w:cstheme="minorHAnsi"/>
          <w:sz w:val="24"/>
          <w:szCs w:val="24"/>
          <w:bdr w:val="none" w:sz="0" w:space="0" w:color="auto" w:frame="1"/>
          <w:lang w:eastAsia="it-IT"/>
        </w:rPr>
      </w:pPr>
    </w:p>
    <w:p w14:paraId="643EAADE" w14:textId="77777777" w:rsidR="00250CED" w:rsidRPr="00250CED" w:rsidRDefault="00250CED" w:rsidP="00250CED">
      <w:pPr>
        <w:pBdr>
          <w:left w:val="single" w:sz="36" w:space="4" w:color="FFFFFF"/>
        </w:pBdr>
        <w:shd w:val="clear" w:color="auto" w:fill="FFFFFF"/>
        <w:spacing w:before="80" w:after="80" w:line="240" w:lineRule="auto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it-IT"/>
        </w:rPr>
      </w:pPr>
    </w:p>
    <w:p w14:paraId="532DE954" w14:textId="77777777" w:rsidR="00250CED" w:rsidRPr="00250CED" w:rsidRDefault="00250CED" w:rsidP="00250CED">
      <w:pPr>
        <w:pBdr>
          <w:left w:val="single" w:sz="36" w:space="4" w:color="FFFFFF"/>
        </w:pBdr>
        <w:shd w:val="clear" w:color="auto" w:fill="FFFFFF"/>
        <w:spacing w:before="80" w:after="8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3DD96C7A" w14:textId="77777777" w:rsidR="00DC679C" w:rsidRDefault="00250CED"/>
    <w:sectPr w:rsidR="00DC67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CED"/>
    <w:rsid w:val="000E7C2C"/>
    <w:rsid w:val="001C1CD1"/>
    <w:rsid w:val="00250CED"/>
    <w:rsid w:val="00423AD3"/>
    <w:rsid w:val="006C1ECF"/>
    <w:rsid w:val="008F53B3"/>
    <w:rsid w:val="00D0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0D502"/>
  <w15:chartTrackingRefBased/>
  <w15:docId w15:val="{F7D3F3EE-C8E9-4A21-88FF-B485FA8D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Caputo Carmine</dc:creator>
  <cp:keywords/>
  <dc:description/>
  <cp:lastModifiedBy>Caputo Carmine</cp:lastModifiedBy>
  <cp:revision>1</cp:revision>
  <dcterms:created xsi:type="dcterms:W3CDTF">2022-01-20T15:26:00Z</dcterms:created>
  <dcterms:modified xsi:type="dcterms:W3CDTF">2022-01-20T15:27:00Z</dcterms:modified>
</cp:coreProperties>
</file>