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7510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 programmi finalizzati </w:t>
      </w:r>
    </w:p>
    <w:p w14:paraId="4793D0E9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0CC25C48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Gli </w:t>
      </w:r>
      <w:r>
        <w:rPr>
          <w:rFonts w:ascii="Calibri" w:eastAsia="Calibri" w:hAnsi="Calibri" w:cs="Calibri"/>
          <w:b/>
          <w:sz w:val="24"/>
          <w:szCs w:val="24"/>
        </w:rPr>
        <w:t>8,7 milioni di euro</w:t>
      </w:r>
      <w:r>
        <w:rPr>
          <w:rFonts w:ascii="Calibri" w:eastAsia="Calibri" w:hAnsi="Calibri" w:cs="Calibri"/>
          <w:sz w:val="24"/>
          <w:szCs w:val="24"/>
        </w:rPr>
        <w:t xml:space="preserve"> destinati a finanziare i programmi finalizzati sono così ripartiti: </w:t>
      </w:r>
    </w:p>
    <w:p w14:paraId="175ADD46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color w:val="5B9BD5"/>
          <w:sz w:val="24"/>
          <w:szCs w:val="24"/>
        </w:rPr>
      </w:pPr>
    </w:p>
    <w:p w14:paraId="13E772DD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Contrasto alle disuguaglianze (3 milioni di euro) </w:t>
      </w:r>
    </w:p>
    <w:p w14:paraId="312E571C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Anche per l’anno 2022, in considerazione del perdurare della crisi economico-sociale determinata dall’emergenza sanitaria, sono state confermate le azioni di contrasto alle disuguaglianze dovute all’epidemia da Covid-19 già sviluppate nelle programmazioni 2020 e 2021.  </w:t>
      </w:r>
    </w:p>
    <w:p w14:paraId="59D0AA4E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35226A13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Rientrano in quest’ambito gli interventi a supporto di situazioni di fragilità economica come l’aiuto al </w:t>
      </w:r>
      <w:r>
        <w:rPr>
          <w:rFonts w:ascii="Calibri" w:eastAsia="Calibri" w:hAnsi="Calibri" w:cs="Calibri"/>
          <w:b/>
          <w:sz w:val="24"/>
          <w:szCs w:val="24"/>
        </w:rPr>
        <w:t>pagamento di affitti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>utenze</w:t>
      </w:r>
      <w:r>
        <w:rPr>
          <w:rFonts w:ascii="Calibri" w:eastAsia="Calibri" w:hAnsi="Calibri" w:cs="Calibri"/>
          <w:sz w:val="24"/>
          <w:szCs w:val="24"/>
        </w:rPr>
        <w:t xml:space="preserve">, l’erogazione di </w:t>
      </w:r>
      <w:r>
        <w:rPr>
          <w:rFonts w:ascii="Calibri" w:eastAsia="Calibri" w:hAnsi="Calibri" w:cs="Calibri"/>
          <w:b/>
          <w:sz w:val="24"/>
          <w:szCs w:val="24"/>
        </w:rPr>
        <w:t>buoni spesa</w:t>
      </w:r>
      <w:r>
        <w:rPr>
          <w:rFonts w:ascii="Calibri" w:eastAsia="Calibri" w:hAnsi="Calibri" w:cs="Calibri"/>
          <w:sz w:val="24"/>
          <w:szCs w:val="24"/>
        </w:rPr>
        <w:t xml:space="preserve">, ma anche azioni di </w:t>
      </w:r>
      <w:r>
        <w:rPr>
          <w:rFonts w:ascii="Calibri" w:eastAsia="Calibri" w:hAnsi="Calibri" w:cs="Calibri"/>
          <w:b/>
          <w:sz w:val="24"/>
          <w:szCs w:val="24"/>
        </w:rPr>
        <w:t>sostegno alle attività scolastiche e formative</w:t>
      </w:r>
      <w:r>
        <w:rPr>
          <w:rFonts w:ascii="Calibri" w:eastAsia="Calibri" w:hAnsi="Calibri" w:cs="Calibri"/>
          <w:sz w:val="24"/>
          <w:szCs w:val="24"/>
        </w:rPr>
        <w:t>, oltre all’attivazione di iniziative di contrasto all’isolamento sociale degli adolescenti.</w:t>
      </w:r>
    </w:p>
    <w:p w14:paraId="044C186C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6519F94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Sostegno mobilità soggetti fragili (1,5 milioni di euro)  </w:t>
      </w:r>
    </w:p>
    <w:p w14:paraId="3463E162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Queste risorse sono destinate in via prioritaria all’erogazione di contributi per </w:t>
      </w:r>
      <w:r>
        <w:rPr>
          <w:rFonts w:ascii="Calibri" w:eastAsia="Calibri" w:hAnsi="Calibri" w:cs="Calibri"/>
          <w:b/>
          <w:sz w:val="24"/>
          <w:szCs w:val="24"/>
        </w:rPr>
        <w:t>agevolare la fruizione del trasporto pubblico locale</w:t>
      </w:r>
      <w:r>
        <w:rPr>
          <w:rFonts w:ascii="Calibri" w:eastAsia="Calibri" w:hAnsi="Calibri" w:cs="Calibri"/>
          <w:sz w:val="24"/>
          <w:szCs w:val="24"/>
        </w:rPr>
        <w:t xml:space="preserve"> da parte di soggetti in condizione di fragilità sociale (tra cui persone anziane, con disabilità e richiedenti asilo), con priorità alle persone indigenti senza dimora ed ai componenti delle famiglie numerose con 4 o più figli e con ISEE sotto i 28.000 euro annui.</w:t>
      </w:r>
    </w:p>
    <w:p w14:paraId="76CA46BD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4908AE35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continuità con quanto previsto nel 2021 e in considerazione del fatto che il fenomeno dell’emarginazione di persone adulte e senza dimora tende a concentrarsi soprattutto nelle aree urbane di maggiori dimensioni, viene chiesto ai Comuni capoluogo di implementare la misura a favore delle </w:t>
      </w:r>
      <w:r>
        <w:rPr>
          <w:rFonts w:ascii="Calibri" w:eastAsia="Calibri" w:hAnsi="Calibri" w:cs="Calibri"/>
          <w:b/>
          <w:sz w:val="24"/>
          <w:szCs w:val="24"/>
        </w:rPr>
        <w:t>persone senza dimora</w:t>
      </w:r>
      <w:r>
        <w:rPr>
          <w:rFonts w:ascii="Calibri" w:eastAsia="Calibri" w:hAnsi="Calibri" w:cs="Calibri"/>
          <w:sz w:val="24"/>
          <w:szCs w:val="24"/>
        </w:rPr>
        <w:t xml:space="preserve"> in carico ai servizi, sulla base della valutazione dell’effettivo bisogno ed in una logica di </w:t>
      </w:r>
      <w:proofErr w:type="gramStart"/>
      <w:r>
        <w:rPr>
          <w:rFonts w:ascii="Calibri" w:eastAsia="Calibri" w:hAnsi="Calibri" w:cs="Calibri"/>
          <w:sz w:val="24"/>
          <w:szCs w:val="24"/>
        </w:rPr>
        <w:t>complementarietà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con altri interventi.</w:t>
      </w:r>
    </w:p>
    <w:p w14:paraId="6D0FF04E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1782E45D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Programma finalizzato “Carcere” (650.000 euro) </w:t>
      </w:r>
    </w:p>
    <w:p w14:paraId="137F795D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tratta di interventi rivolti alle persone sottoposte a provvedimenti dell’autorità giudiziaria, sia all’interno degli istituti penitenziari che all’esterno, nell’ambito delle </w:t>
      </w:r>
      <w:r>
        <w:rPr>
          <w:rFonts w:ascii="Calibri" w:eastAsia="Calibri" w:hAnsi="Calibri" w:cs="Calibri"/>
          <w:b/>
          <w:sz w:val="24"/>
          <w:szCs w:val="24"/>
        </w:rPr>
        <w:t>misure alternative alla detenzione e di comunità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1C5F9365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19A63C6C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azioni saranno realizzate in collaborazione con tutti i soggetti territorialmente competenti. In particolare, sarà fondamentale il coinvolgimento dei Comuni di provenienza delle persone detenute.</w:t>
      </w:r>
    </w:p>
    <w:p w14:paraId="1968AD97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 </w:t>
      </w:r>
    </w:p>
    <w:p w14:paraId="5FD82FBA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il graduale passaggio ad una fase di alleggerimento delle restrizioni anti-Covid si punta al progressivo riavvio delle molteplici attività sospese all’interno del carcere - dagli </w:t>
      </w:r>
      <w:r>
        <w:rPr>
          <w:rFonts w:ascii="Calibri" w:eastAsia="Calibri" w:hAnsi="Calibri" w:cs="Calibri"/>
          <w:b/>
          <w:sz w:val="24"/>
          <w:szCs w:val="24"/>
        </w:rPr>
        <w:t>sportelli informativi</w:t>
      </w:r>
      <w:r>
        <w:rPr>
          <w:rFonts w:ascii="Calibri" w:eastAsia="Calibri" w:hAnsi="Calibri" w:cs="Calibri"/>
          <w:sz w:val="24"/>
          <w:szCs w:val="24"/>
        </w:rPr>
        <w:t xml:space="preserve">, alle </w:t>
      </w:r>
      <w:r>
        <w:rPr>
          <w:rFonts w:ascii="Calibri" w:eastAsia="Calibri" w:hAnsi="Calibri" w:cs="Calibri"/>
          <w:b/>
          <w:sz w:val="24"/>
          <w:szCs w:val="24"/>
        </w:rPr>
        <w:t>lezioni scolastiche</w:t>
      </w:r>
      <w:r>
        <w:rPr>
          <w:rFonts w:ascii="Calibri" w:eastAsia="Calibri" w:hAnsi="Calibri" w:cs="Calibri"/>
          <w:sz w:val="24"/>
          <w:szCs w:val="24"/>
        </w:rPr>
        <w:t xml:space="preserve">, alle trasmissioni via radio e via TV a supporto del sistema di interventi e servizi - anche attraverso modalità innovative, a distanza e/o per via telematica, come già sperimentato in diverse realtà regionali.  </w:t>
      </w:r>
    </w:p>
    <w:p w14:paraId="03ABE36B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color w:val="5B9BD5"/>
          <w:sz w:val="24"/>
          <w:szCs w:val="24"/>
          <w:highlight w:val="yellow"/>
        </w:rPr>
      </w:pPr>
    </w:p>
    <w:p w14:paraId="7440221C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Programma “Centri per le famiglie” (1.865.000 euro)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B698CBF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Si tratta di interventi dedicati a potenziare e qualificare le molteplici attività dei Centri per le famiglie (informazione, sostegno alle competenze genitoriali, sviluppo delle risorse familiari e comunitarie, ecc.) e 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sostegno alla natalità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(ad esempio attività informative e di supporto al periodo prenatale e nei primi mesi di vita, interventi domiciliari per mamme in gravidanza e bambini nei primi mesi di vita  che presentano segnali di fragilità, percorsi di auto mutuo aiuto per i neo  genitori).</w:t>
      </w:r>
    </w:p>
    <w:p w14:paraId="7B496FE6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Rispetto all’anno scorso si registra un incremento di circa 350 mila euro della dotazione finanziaria, con l’obiettivo di promuoverne la </w:t>
      </w:r>
      <w:r>
        <w:rPr>
          <w:rFonts w:ascii="Calibri" w:eastAsia="Calibri" w:hAnsi="Calibri" w:cs="Calibri"/>
          <w:b/>
          <w:sz w:val="24"/>
          <w:szCs w:val="24"/>
        </w:rPr>
        <w:t>diffusione e lo sviluppo dei Centri per le famiglie</w:t>
      </w:r>
      <w:r>
        <w:rPr>
          <w:rFonts w:ascii="Calibri" w:eastAsia="Calibri" w:hAnsi="Calibri" w:cs="Calibri"/>
          <w:sz w:val="24"/>
          <w:szCs w:val="24"/>
        </w:rPr>
        <w:t xml:space="preserve"> sul territorio regionale per raggiungere la completa copertura di tutti gli ambiti distrettuali.</w:t>
      </w:r>
    </w:p>
    <w:p w14:paraId="4B56B5B4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8858AA3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Programma supervisione personale servizi sociali (720.000 euro) </w:t>
      </w:r>
    </w:p>
    <w:p w14:paraId="16247DA9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Obiettivo generale è la garanzia di un servizio territoriale di qualità attraverso la messa a disposizione degli operatori sociali di una serie di strumenti che ne garantiscano il benessere e ne preservino l’equilibrio psico-fisico, allo scopo </w:t>
      </w:r>
      <w:r>
        <w:rPr>
          <w:rFonts w:ascii="Calibri" w:eastAsia="Calibri" w:hAnsi="Calibri" w:cs="Calibri"/>
          <w:b/>
          <w:sz w:val="24"/>
          <w:szCs w:val="24"/>
        </w:rPr>
        <w:t>prevenire situazioni di stress lavorativo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</w:p>
    <w:p w14:paraId="10F58C32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37101ECD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estrema sintesi si prevede l’attivazione e/o il sostegno allo sviluppo di percorsi di supervisione del personale dei servizi sociali, per </w:t>
      </w:r>
      <w:r>
        <w:rPr>
          <w:rFonts w:ascii="Calibri" w:eastAsia="Calibri" w:hAnsi="Calibri" w:cs="Calibri"/>
          <w:b/>
          <w:sz w:val="24"/>
          <w:szCs w:val="24"/>
        </w:rPr>
        <w:t>contrastare fenomeni di burn out e/o forme di burocratizzazione</w:t>
      </w:r>
      <w:r>
        <w:rPr>
          <w:rFonts w:ascii="Calibri" w:eastAsia="Calibri" w:hAnsi="Calibri" w:cs="Calibri"/>
          <w:sz w:val="24"/>
          <w:szCs w:val="24"/>
        </w:rPr>
        <w:t xml:space="preserve"> dell’intervento professionale. </w:t>
      </w:r>
    </w:p>
    <w:p w14:paraId="007A60A3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71DA0F99" w14:textId="77777777" w:rsidR="002F3726" w:rsidRDefault="002F3726" w:rsidP="002F3726">
      <w:pPr>
        <w:tabs>
          <w:tab w:val="left" w:pos="1148"/>
        </w:tabs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percorsi saranno rivolti ad assistenti sociali impegnati nei servizi territoriali, ma anche ad altre figure professionali (psicologi, educatori, pedagogisti, operatori di sportello, ecc.). </w:t>
      </w:r>
    </w:p>
    <w:p w14:paraId="55955E3D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color w:val="5B9BD5"/>
          <w:sz w:val="24"/>
          <w:szCs w:val="24"/>
          <w:highlight w:val="yellow"/>
        </w:rPr>
      </w:pPr>
    </w:p>
    <w:p w14:paraId="5E4D20B3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Programma “Dimissioni protette” (720.000 euro)</w:t>
      </w:r>
    </w:p>
    <w:p w14:paraId="4FEC6B5D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tratta di una delle novità introdotte dal Piano nazionale degli interventi e dei servizi sociali 2021-2023 per avviare azioni di sostegno e rafforzamento dell’</w:t>
      </w:r>
      <w:r>
        <w:rPr>
          <w:rFonts w:ascii="Calibri" w:eastAsia="Calibri" w:hAnsi="Calibri" w:cs="Calibri"/>
          <w:b/>
          <w:sz w:val="24"/>
          <w:szCs w:val="24"/>
        </w:rPr>
        <w:t>assistenza domiciliare rivolta alle persone con fragilità</w:t>
      </w:r>
      <w:r>
        <w:rPr>
          <w:rFonts w:ascii="Calibri" w:eastAsia="Calibri" w:hAnsi="Calibri" w:cs="Calibri"/>
          <w:sz w:val="24"/>
          <w:szCs w:val="24"/>
        </w:rPr>
        <w:t xml:space="preserve">, nell’ottica del suo riconoscimento come LEPS, cioè i livelli essenziali delle prestazioni sociali. </w:t>
      </w:r>
    </w:p>
    <w:p w14:paraId="3BDF9DAF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0CB126AF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 fine di migliorare ulteriormente l'assistenza territoriale e offrire percorsi sempre più personalizzati e qualificati, si punta tra l’altro a potenziare la capacità di presa in carico dei pazienti fragili a seguito di ricovero ospedaliero o dimissione da una struttura riabilitativa, garantendo il raccordo con il medico di medicina generale e il servizio sociale territoriale. </w:t>
      </w:r>
    </w:p>
    <w:p w14:paraId="0325AE77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57A2C91F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target di riferimento è rappresentato da persone anziane non autosufficienti e/o in condizioni di fragilità non supportate da un’adeguata rete assistenziale, per le quali gli interventi sono volti a sostenerne il rientro e la permanenza a domicilio.</w:t>
      </w:r>
    </w:p>
    <w:p w14:paraId="1B0A8574" w14:textId="77777777" w:rsidR="002F3726" w:rsidRDefault="002F3726" w:rsidP="002F3726">
      <w:pPr>
        <w:spacing w:after="0"/>
        <w:ind w:left="397" w:right="397"/>
        <w:jc w:val="both"/>
        <w:rPr>
          <w:rFonts w:ascii="Calibri" w:eastAsia="Calibri" w:hAnsi="Calibri" w:cs="Calibri"/>
          <w:sz w:val="24"/>
          <w:szCs w:val="24"/>
        </w:rPr>
      </w:pPr>
    </w:p>
    <w:p w14:paraId="7DAE7FCA" w14:textId="77777777" w:rsidR="002F3726" w:rsidRDefault="002F3726" w:rsidP="002F3726">
      <w:pPr>
        <w:ind w:left="397" w:right="397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Programma finalizzato PIPPI (250.000 euro) </w:t>
      </w:r>
    </w:p>
    <w:p w14:paraId="2A69619E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L’obiettivo è la promozione e la diffusione delle Linee di indirizzo nazionali sull’intervento con bambini e famiglie in situazione di vulnerabilità. </w:t>
      </w:r>
    </w:p>
    <w:p w14:paraId="27D2C058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B29B08E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Si tratta di una serie di interventi per l’accompagnamento della genitorialità vulnerabile che punta 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prevenire il rischio di maltrattamento e il conseguente allontanamento dei minori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dal nucleo famigliare. </w:t>
      </w:r>
    </w:p>
    <w:p w14:paraId="69672774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5616E40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Calibri" w:eastAsia="Calibri" w:hAnsi="Calibri" w:cs="Calibri"/>
          <w:color w:val="385623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Anche nel 2022 parteciperanno al programma i seguenti ambiti distrettuali: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Unione comuni distretto ceramico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per il Distretto di Sassuolo;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Unione Appennino reggiano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per il distretto di Castelnovo ne’ Monti;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Unione dei comuni del Frignano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per il distretto di Pavullo;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Unione Rubicone mare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per il distretto Rubicone;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Unione comuni modenesi area nord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per il distretto di Mirandola</w:t>
      </w:r>
      <w:r>
        <w:rPr>
          <w:rFonts w:ascii="Calibri" w:eastAsia="Calibri" w:hAnsi="Calibri" w:cs="Calibri"/>
          <w:color w:val="385623"/>
          <w:sz w:val="24"/>
          <w:szCs w:val="24"/>
        </w:rPr>
        <w:t>. /</w:t>
      </w:r>
      <w:proofErr w:type="spellStart"/>
      <w:proofErr w:type="gramStart"/>
      <w:r>
        <w:rPr>
          <w:rFonts w:ascii="Calibri" w:eastAsia="Calibri" w:hAnsi="Calibri" w:cs="Calibri"/>
          <w:color w:val="385623"/>
          <w:sz w:val="24"/>
          <w:szCs w:val="24"/>
        </w:rPr>
        <w:t>G.Ma</w:t>
      </w:r>
      <w:proofErr w:type="spellEnd"/>
      <w:proofErr w:type="gramEnd"/>
      <w:r>
        <w:rPr>
          <w:rFonts w:ascii="Calibri" w:eastAsia="Calibri" w:hAnsi="Calibri" w:cs="Calibri"/>
          <w:color w:val="385623"/>
          <w:sz w:val="24"/>
          <w:szCs w:val="24"/>
        </w:rPr>
        <w:t> </w:t>
      </w:r>
    </w:p>
    <w:p w14:paraId="75CF504F" w14:textId="77777777" w:rsidR="002F3726" w:rsidRDefault="002F3726" w:rsidP="002F3726">
      <w:pPr>
        <w:spacing w:after="0" w:line="240" w:lineRule="auto"/>
        <w:ind w:left="397" w:right="397"/>
        <w:jc w:val="both"/>
        <w:rPr>
          <w:rFonts w:ascii="Verdana" w:eastAsia="Verdana" w:hAnsi="Verdana" w:cs="Verdana"/>
          <w:color w:val="385623"/>
          <w:sz w:val="28"/>
          <w:szCs w:val="28"/>
        </w:rPr>
      </w:pPr>
    </w:p>
    <w:p w14:paraId="2D48D658" w14:textId="77777777" w:rsidR="002F3726" w:rsidRDefault="002F3726" w:rsidP="002F3726">
      <w:pPr>
        <w:ind w:left="397" w:right="397"/>
        <w:jc w:val="both"/>
        <w:rPr>
          <w:b/>
          <w:color w:val="FF0000"/>
          <w:highlight w:val="yellow"/>
        </w:rPr>
      </w:pPr>
    </w:p>
    <w:p w14:paraId="5C1C3CFC" w14:textId="77777777" w:rsidR="00937502" w:rsidRDefault="00937502"/>
    <w:sectPr w:rsidR="00937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26"/>
    <w:rsid w:val="002F3726"/>
    <w:rsid w:val="0093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EAB2"/>
  <w15:chartTrackingRefBased/>
  <w15:docId w15:val="{9FF58BA0-1F99-471A-92F4-3425BB3B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Frenquellucci Jacopo</dc:creator>
  <cp:keywords/>
  <dc:description/>
  <cp:lastModifiedBy>Frenquellucci Jacopo</cp:lastModifiedBy>
  <cp:revision>1</cp:revision>
  <dcterms:created xsi:type="dcterms:W3CDTF">2022-06-04T08:24:00Z</dcterms:created>
  <dcterms:modified xsi:type="dcterms:W3CDTF">2022-06-04T08:27:00Z</dcterms:modified>
</cp:coreProperties>
</file>