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4D927" w14:textId="77777777" w:rsidR="00B66E5A" w:rsidRPr="00324B2C" w:rsidRDefault="00B66E5A" w:rsidP="00B66E5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80" w:after="80"/>
        <w:jc w:val="both"/>
        <w:rPr>
          <w:rFonts w:cstheme="minorHAnsi"/>
          <w:b/>
          <w:bCs/>
          <w:sz w:val="24"/>
          <w:szCs w:val="24"/>
        </w:rPr>
      </w:pPr>
      <w:r w:rsidRPr="00324B2C">
        <w:rPr>
          <w:rFonts w:cstheme="minorHAnsi"/>
          <w:b/>
          <w:bCs/>
          <w:sz w:val="24"/>
          <w:szCs w:val="24"/>
        </w:rPr>
        <w:t>Allegato</w:t>
      </w:r>
    </w:p>
    <w:p w14:paraId="7C2B70AD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298E8FF0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b/>
          <w:bCs/>
          <w:sz w:val="24"/>
          <w:szCs w:val="24"/>
        </w:rPr>
      </w:pPr>
      <w:r w:rsidRPr="00324B2C">
        <w:rPr>
          <w:rFonts w:cstheme="minorHAnsi"/>
          <w:b/>
          <w:bCs/>
          <w:sz w:val="24"/>
          <w:szCs w:val="24"/>
        </w:rPr>
        <w:t>La manovra in sintesi</w:t>
      </w:r>
    </w:p>
    <w:p w14:paraId="5D34C406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Le sole entrate “ordinarie” aggiuntive derivano dalla rinegoziazione dei mutui (circa </w:t>
      </w:r>
      <w:proofErr w:type="gramStart"/>
      <w:r w:rsidRPr="00324B2C">
        <w:rPr>
          <w:rFonts w:cstheme="minorHAnsi"/>
          <w:b/>
          <w:bCs/>
          <w:sz w:val="24"/>
          <w:szCs w:val="24"/>
        </w:rPr>
        <w:t>7</w:t>
      </w:r>
      <w:proofErr w:type="gramEnd"/>
      <w:r w:rsidRPr="00324B2C">
        <w:rPr>
          <w:rFonts w:cstheme="minorHAnsi"/>
          <w:b/>
          <w:bCs/>
          <w:sz w:val="24"/>
          <w:szCs w:val="24"/>
        </w:rPr>
        <w:t xml:space="preserve"> milioni</w:t>
      </w:r>
      <w:r w:rsidRPr="00324B2C">
        <w:rPr>
          <w:rFonts w:cstheme="minorHAnsi"/>
          <w:sz w:val="24"/>
          <w:szCs w:val="24"/>
        </w:rPr>
        <w:t xml:space="preserve"> di euro) e da minori costi da indebitamento. </w:t>
      </w:r>
    </w:p>
    <w:p w14:paraId="4C511237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C’è un’entrata straordinaria e non replicabile di </w:t>
      </w:r>
      <w:r w:rsidRPr="00324B2C">
        <w:rPr>
          <w:rFonts w:cstheme="minorHAnsi"/>
          <w:b/>
          <w:bCs/>
          <w:sz w:val="24"/>
          <w:szCs w:val="24"/>
        </w:rPr>
        <w:t>35 milioni</w:t>
      </w:r>
      <w:r w:rsidRPr="00324B2C">
        <w:rPr>
          <w:rFonts w:cstheme="minorHAnsi"/>
          <w:sz w:val="24"/>
          <w:szCs w:val="24"/>
        </w:rPr>
        <w:t xml:space="preserve">, derivante da un rimborso statale per anticipazione di spese che la Regione aveva fatto per lo Stato in </w:t>
      </w:r>
      <w:r w:rsidRPr="00324B2C">
        <w:rPr>
          <w:rFonts w:cstheme="minorHAnsi"/>
          <w:b/>
          <w:bCs/>
          <w:sz w:val="24"/>
          <w:szCs w:val="24"/>
        </w:rPr>
        <w:t>agricoltura</w:t>
      </w:r>
      <w:r w:rsidRPr="00324B2C">
        <w:rPr>
          <w:rFonts w:cstheme="minorHAnsi"/>
          <w:sz w:val="24"/>
          <w:szCs w:val="24"/>
        </w:rPr>
        <w:t>.</w:t>
      </w:r>
    </w:p>
    <w:p w14:paraId="5D34A15E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Per effetto di rimodulazioni e riduzioni di spese è stato possibile garantire la copertura economica di ulteriori interventi tra cui: </w:t>
      </w:r>
      <w:r w:rsidRPr="00324B2C">
        <w:rPr>
          <w:rFonts w:cstheme="minorHAnsi"/>
          <w:b/>
          <w:bCs/>
          <w:sz w:val="24"/>
          <w:szCs w:val="24"/>
        </w:rPr>
        <w:t>16,7 milioni</w:t>
      </w:r>
      <w:r w:rsidRPr="00324B2C">
        <w:rPr>
          <w:rFonts w:cstheme="minorHAnsi"/>
          <w:sz w:val="24"/>
          <w:szCs w:val="24"/>
        </w:rPr>
        <w:t xml:space="preserve"> per il finanziamento aggiuntivo per livelli di assistenza superiori ai Lea; </w:t>
      </w:r>
      <w:r w:rsidRPr="00324B2C">
        <w:rPr>
          <w:rFonts w:cstheme="minorHAnsi"/>
          <w:b/>
          <w:bCs/>
          <w:sz w:val="24"/>
          <w:szCs w:val="24"/>
        </w:rPr>
        <w:t>6,5 milioni</w:t>
      </w:r>
      <w:r w:rsidRPr="00324B2C">
        <w:rPr>
          <w:rFonts w:cstheme="minorHAnsi"/>
          <w:sz w:val="24"/>
          <w:szCs w:val="24"/>
        </w:rPr>
        <w:t xml:space="preserve"> per interventi nel settore agricolo; </w:t>
      </w:r>
      <w:r w:rsidRPr="00324B2C">
        <w:rPr>
          <w:rFonts w:cstheme="minorHAnsi"/>
          <w:b/>
          <w:bCs/>
          <w:sz w:val="24"/>
          <w:szCs w:val="24"/>
        </w:rPr>
        <w:t>3 milioni</w:t>
      </w:r>
      <w:r w:rsidRPr="00324B2C">
        <w:rPr>
          <w:rFonts w:cstheme="minorHAnsi"/>
          <w:sz w:val="24"/>
          <w:szCs w:val="24"/>
        </w:rPr>
        <w:t xml:space="preserve"> per servizi aggiuntivi a favore del trasporto pubblico locale (progetto “Salta su!”); </w:t>
      </w:r>
      <w:r w:rsidRPr="00324B2C">
        <w:rPr>
          <w:rFonts w:cstheme="minorHAnsi"/>
          <w:b/>
          <w:bCs/>
          <w:sz w:val="24"/>
          <w:szCs w:val="24"/>
        </w:rPr>
        <w:t>2,8 milioni</w:t>
      </w:r>
      <w:r w:rsidRPr="00324B2C">
        <w:rPr>
          <w:rFonts w:cstheme="minorHAnsi"/>
          <w:sz w:val="24"/>
          <w:szCs w:val="24"/>
        </w:rPr>
        <w:t xml:space="preserve"> per l’attuazione dei piani di zona e interventi a favore di soggetti a rischio di esclusione; </w:t>
      </w:r>
      <w:r w:rsidRPr="00324B2C">
        <w:rPr>
          <w:rFonts w:cstheme="minorHAnsi"/>
          <w:b/>
          <w:bCs/>
          <w:sz w:val="24"/>
          <w:szCs w:val="24"/>
        </w:rPr>
        <w:t>2,65 milioni</w:t>
      </w:r>
      <w:r w:rsidRPr="00324B2C">
        <w:rPr>
          <w:rFonts w:cstheme="minorHAnsi"/>
          <w:sz w:val="24"/>
          <w:szCs w:val="24"/>
        </w:rPr>
        <w:t xml:space="preserve"> per la promozione di grandi eventi sportivi e di eventi di rilievo regionale e locale; </w:t>
      </w:r>
      <w:r w:rsidRPr="00324B2C">
        <w:rPr>
          <w:rFonts w:cstheme="minorHAnsi"/>
          <w:b/>
          <w:bCs/>
          <w:sz w:val="24"/>
          <w:szCs w:val="24"/>
        </w:rPr>
        <w:t>2,6 milioni</w:t>
      </w:r>
      <w:r w:rsidRPr="00324B2C">
        <w:rPr>
          <w:rFonts w:cstheme="minorHAnsi"/>
          <w:sz w:val="24"/>
          <w:szCs w:val="24"/>
        </w:rPr>
        <w:t xml:space="preserve"> per l’attuazione di progetti di marketing e di promozione turistica; </w:t>
      </w:r>
      <w:r w:rsidRPr="00324B2C">
        <w:rPr>
          <w:rFonts w:cstheme="minorHAnsi"/>
          <w:b/>
          <w:bCs/>
          <w:sz w:val="24"/>
          <w:szCs w:val="24"/>
        </w:rPr>
        <w:t>1,7 milioni</w:t>
      </w:r>
      <w:r w:rsidRPr="00324B2C">
        <w:rPr>
          <w:rFonts w:cstheme="minorHAnsi"/>
          <w:sz w:val="24"/>
          <w:szCs w:val="24"/>
        </w:rPr>
        <w:t xml:space="preserve"> per il sostegno ad attività nel settore dello spettacolo; </w:t>
      </w:r>
      <w:r w:rsidRPr="00324B2C">
        <w:rPr>
          <w:rFonts w:cstheme="minorHAnsi"/>
          <w:b/>
          <w:bCs/>
          <w:sz w:val="24"/>
          <w:szCs w:val="24"/>
        </w:rPr>
        <w:t>1 milione</w:t>
      </w:r>
      <w:r w:rsidRPr="00324B2C">
        <w:rPr>
          <w:rFonts w:cstheme="minorHAnsi"/>
          <w:sz w:val="24"/>
          <w:szCs w:val="24"/>
        </w:rPr>
        <w:t xml:space="preserve"> per contributi a favore di imprese per favorire percorsi integrati ingrati di internazionalizzazione; </w:t>
      </w:r>
      <w:r w:rsidRPr="00324B2C">
        <w:rPr>
          <w:rFonts w:cstheme="minorHAnsi"/>
          <w:b/>
          <w:bCs/>
          <w:sz w:val="24"/>
          <w:szCs w:val="24"/>
        </w:rPr>
        <w:t>1 milione</w:t>
      </w:r>
      <w:r w:rsidRPr="00324B2C">
        <w:rPr>
          <w:rFonts w:cstheme="minorHAnsi"/>
          <w:sz w:val="24"/>
          <w:szCs w:val="24"/>
        </w:rPr>
        <w:t xml:space="preserve"> per la concessione di finanziamenti agevolati di microcredito; </w:t>
      </w:r>
      <w:r w:rsidRPr="00324B2C">
        <w:rPr>
          <w:rFonts w:cstheme="minorHAnsi"/>
          <w:b/>
          <w:bCs/>
          <w:sz w:val="24"/>
          <w:szCs w:val="24"/>
        </w:rPr>
        <w:t>0,5 milion</w:t>
      </w:r>
      <w:r w:rsidRPr="00324B2C">
        <w:rPr>
          <w:rFonts w:cstheme="minorHAnsi"/>
          <w:sz w:val="24"/>
          <w:szCs w:val="24"/>
        </w:rPr>
        <w:t>i a favore di un fondo rotativo per la qualificazione energetica e l’utilizzo di fonti rinnovabili.</w:t>
      </w:r>
    </w:p>
    <w:p w14:paraId="471F87BD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Sulla base del risultato del Rendiconto 2021 si procede all’adeguamento del fondo di cassa e del disavanzo derivante da mutui autorizzati e non contratti. </w:t>
      </w:r>
    </w:p>
    <w:p w14:paraId="1FA7296A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Le assegnazioni riguardano in particolare risorse statali aggiuntive per </w:t>
      </w:r>
      <w:r w:rsidRPr="00324B2C">
        <w:rPr>
          <w:rFonts w:cstheme="minorHAnsi"/>
          <w:b/>
          <w:bCs/>
          <w:sz w:val="24"/>
          <w:szCs w:val="24"/>
        </w:rPr>
        <w:t>oltre 8,8 milioni di euro</w:t>
      </w:r>
      <w:r w:rsidRPr="00324B2C">
        <w:rPr>
          <w:rFonts w:cstheme="minorHAnsi"/>
          <w:sz w:val="24"/>
          <w:szCs w:val="24"/>
        </w:rPr>
        <w:t xml:space="preserve"> per il sostegno alle </w:t>
      </w:r>
      <w:r w:rsidRPr="00324B2C">
        <w:rPr>
          <w:rFonts w:cstheme="minorHAnsi"/>
          <w:b/>
          <w:bCs/>
          <w:sz w:val="24"/>
          <w:szCs w:val="24"/>
        </w:rPr>
        <w:t>Comunità Montane</w:t>
      </w:r>
      <w:r w:rsidRPr="00324B2C">
        <w:rPr>
          <w:rFonts w:cstheme="minorHAnsi"/>
          <w:sz w:val="24"/>
          <w:szCs w:val="24"/>
        </w:rPr>
        <w:t xml:space="preserve"> e </w:t>
      </w:r>
      <w:r w:rsidRPr="00324B2C">
        <w:rPr>
          <w:rFonts w:cstheme="minorHAnsi"/>
          <w:b/>
          <w:bCs/>
          <w:sz w:val="24"/>
          <w:szCs w:val="24"/>
        </w:rPr>
        <w:t>Unioni di Comuni</w:t>
      </w:r>
      <w:r w:rsidRPr="00324B2C">
        <w:rPr>
          <w:rFonts w:cstheme="minorHAnsi"/>
          <w:sz w:val="24"/>
          <w:szCs w:val="24"/>
        </w:rPr>
        <w:t xml:space="preserve"> e quasi </w:t>
      </w:r>
      <w:r w:rsidRPr="00324B2C">
        <w:rPr>
          <w:rFonts w:cstheme="minorHAnsi"/>
          <w:b/>
          <w:bCs/>
          <w:sz w:val="24"/>
          <w:szCs w:val="24"/>
        </w:rPr>
        <w:t>10,5 milioni di euro</w:t>
      </w:r>
      <w:r w:rsidRPr="00324B2C">
        <w:rPr>
          <w:rFonts w:cstheme="minorHAnsi"/>
          <w:sz w:val="24"/>
          <w:szCs w:val="24"/>
        </w:rPr>
        <w:t xml:space="preserve"> per compensare la riduzione dei ricavi tariffari relativi ai passeggeri delle imprese di trasporto pubblico locale e regionale in conseguenza dell’emergenza epidemiologica Covid-19 nonché per l'erogazione di servizi aggiuntivi. </w:t>
      </w:r>
    </w:p>
    <w:p w14:paraId="6AEC937C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Per quanto riguarda specificatamente il settore sanitario è stata iscritta un’assegnazione di </w:t>
      </w:r>
      <w:r w:rsidRPr="00324B2C">
        <w:rPr>
          <w:rFonts w:cstheme="minorHAnsi"/>
          <w:b/>
          <w:bCs/>
          <w:sz w:val="24"/>
          <w:szCs w:val="24"/>
        </w:rPr>
        <w:t>quasi 18 milioni di euro</w:t>
      </w:r>
      <w:r w:rsidRPr="00324B2C">
        <w:rPr>
          <w:rFonts w:cstheme="minorHAnsi"/>
          <w:sz w:val="24"/>
          <w:szCs w:val="24"/>
        </w:rPr>
        <w:t xml:space="preserve"> per far fronte al fabbisogno di apparecchiature sanitarie finalizzate a garantire l’espletamento delle prestazioni di competenza dei </w:t>
      </w:r>
      <w:r w:rsidRPr="00324B2C">
        <w:rPr>
          <w:rFonts w:cstheme="minorHAnsi"/>
          <w:b/>
          <w:bCs/>
          <w:sz w:val="24"/>
          <w:szCs w:val="24"/>
        </w:rPr>
        <w:t>medici di medicina generale</w:t>
      </w:r>
      <w:r w:rsidRPr="00324B2C">
        <w:rPr>
          <w:rFonts w:cstheme="minorHAnsi"/>
          <w:sz w:val="24"/>
          <w:szCs w:val="24"/>
        </w:rPr>
        <w:t xml:space="preserve"> e dei </w:t>
      </w:r>
      <w:r w:rsidRPr="00324B2C">
        <w:rPr>
          <w:rFonts w:cstheme="minorHAnsi"/>
          <w:b/>
          <w:bCs/>
          <w:sz w:val="24"/>
          <w:szCs w:val="24"/>
        </w:rPr>
        <w:t>pediatri di libera scelta</w:t>
      </w:r>
      <w:r w:rsidRPr="00324B2C">
        <w:rPr>
          <w:rFonts w:cstheme="minorHAnsi"/>
          <w:sz w:val="24"/>
          <w:szCs w:val="24"/>
        </w:rPr>
        <w:t xml:space="preserve">, nonché </w:t>
      </w:r>
      <w:r w:rsidRPr="00324B2C">
        <w:rPr>
          <w:rFonts w:cstheme="minorHAnsi"/>
          <w:b/>
          <w:bCs/>
          <w:sz w:val="24"/>
          <w:szCs w:val="24"/>
        </w:rPr>
        <w:t>2,8 milioni per la somministrazione di test antigenici rapidi</w:t>
      </w:r>
      <w:r w:rsidRPr="00324B2C">
        <w:rPr>
          <w:rFonts w:cstheme="minorHAnsi"/>
          <w:sz w:val="24"/>
          <w:szCs w:val="24"/>
        </w:rPr>
        <w:t xml:space="preserve"> per la rilevazione dell’antigene Sars-Cov-2 a prezzi contenuti.</w:t>
      </w:r>
    </w:p>
    <w:p w14:paraId="10E2DCEF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Infine, sono state rimodulate le risorse che riguardano la programmazione del Fondo europeo per </w:t>
      </w:r>
      <w:r w:rsidRPr="00324B2C">
        <w:rPr>
          <w:rFonts w:cstheme="minorHAnsi"/>
          <w:b/>
          <w:bCs/>
          <w:sz w:val="24"/>
          <w:szCs w:val="24"/>
        </w:rPr>
        <w:t xml:space="preserve">gli affari marittimi e la pesca </w:t>
      </w:r>
      <w:r w:rsidRPr="00324B2C">
        <w:rPr>
          <w:rFonts w:cstheme="minorHAnsi"/>
          <w:sz w:val="24"/>
          <w:szCs w:val="24"/>
        </w:rPr>
        <w:t>(</w:t>
      </w:r>
      <w:proofErr w:type="spellStart"/>
      <w:r w:rsidRPr="00324B2C">
        <w:rPr>
          <w:rFonts w:cstheme="minorHAnsi"/>
          <w:sz w:val="24"/>
          <w:szCs w:val="24"/>
        </w:rPr>
        <w:t>Feamp</w:t>
      </w:r>
      <w:proofErr w:type="spellEnd"/>
      <w:r w:rsidRPr="00324B2C">
        <w:rPr>
          <w:rFonts w:cstheme="minorHAnsi"/>
          <w:sz w:val="24"/>
          <w:szCs w:val="24"/>
        </w:rPr>
        <w:t xml:space="preserve">) e alcuni progetti comunitari. </w:t>
      </w:r>
    </w:p>
    <w:p w14:paraId="6A426B0D" w14:textId="77777777" w:rsidR="00B66E5A" w:rsidRPr="00324B2C" w:rsidRDefault="00B66E5A" w:rsidP="00B66E5A">
      <w:pPr>
        <w:spacing w:before="80" w:after="80" w:line="240" w:lineRule="auto"/>
        <w:jc w:val="both"/>
        <w:rPr>
          <w:rFonts w:cstheme="minorHAnsi"/>
          <w:sz w:val="24"/>
          <w:szCs w:val="24"/>
        </w:rPr>
      </w:pPr>
      <w:r w:rsidRPr="00324B2C">
        <w:rPr>
          <w:rFonts w:cstheme="minorHAnsi"/>
          <w:sz w:val="24"/>
          <w:szCs w:val="24"/>
        </w:rPr>
        <w:t xml:space="preserve">Minori spese derivano principalmente dalla riduzione delle previsioni per interessi passivi sull’anticipazione di cassa (mai attivata negli ultimi anni) e dall’aggiornamento delle risorse destinate alla copertura degli oneri di ammortamento conseguente alla riduzione del saldo negativo dell’esercizio precedente derivante dalla mancata contrazione di mutui e prestiti a fronte di spese di investimento autorizzate negli esercizi precedenti e finanziate con risparmio pubblico. </w:t>
      </w:r>
    </w:p>
    <w:p w14:paraId="1111D4B3" w14:textId="77777777" w:rsidR="00B66E5A" w:rsidRPr="00324B2C" w:rsidRDefault="00B66E5A" w:rsidP="00B66E5A">
      <w:pPr>
        <w:jc w:val="both"/>
        <w:rPr>
          <w:rFonts w:cstheme="minorHAnsi"/>
          <w:sz w:val="24"/>
          <w:szCs w:val="24"/>
        </w:rPr>
      </w:pPr>
    </w:p>
    <w:p w14:paraId="4EAE0435" w14:textId="77777777" w:rsidR="00146845" w:rsidRDefault="00146845"/>
    <w:sectPr w:rsidR="001468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FE"/>
    <w:rsid w:val="00146845"/>
    <w:rsid w:val="00B66E5A"/>
    <w:rsid w:val="00E4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DBBE"/>
  <w15:chartTrackingRefBased/>
  <w15:docId w15:val="{395720C2-786D-4FA1-91CB-BDBE7D2A2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6E5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</Words>
  <Characters>2583</Characters>
  <Application>Microsoft Office Word</Application>
  <DocSecurity>0</DocSecurity>
  <Lines>21</Lines>
  <Paragraphs>6</Paragraphs>
  <ScaleCrop>false</ScaleCrop>
  <Company>Regione Emilia-Romagna</Company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Vergano Chiara</dc:creator>
  <cp:keywords/>
  <dc:description/>
  <cp:lastModifiedBy>Vergano Chiara</cp:lastModifiedBy>
  <cp:revision>2</cp:revision>
  <dcterms:created xsi:type="dcterms:W3CDTF">2022-07-26T10:00:00Z</dcterms:created>
  <dcterms:modified xsi:type="dcterms:W3CDTF">2022-07-26T10:00:00Z</dcterms:modified>
</cp:coreProperties>
</file>