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5A78" w14:textId="77777777" w:rsidR="00332F48" w:rsidRPr="00F369A2" w:rsidRDefault="00332F48" w:rsidP="00332F48">
      <w:pPr>
        <w:pStyle w:val="Body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645"/>
        <w:contextualSpacing/>
        <w:rPr>
          <w:rFonts w:asciiTheme="minorHAnsi" w:hAnsiTheme="minorHAnsi" w:cstheme="minorHAnsi"/>
          <w:b/>
          <w:bCs/>
          <w:color w:val="auto"/>
          <w:szCs w:val="24"/>
        </w:rPr>
      </w:pPr>
      <w:r w:rsidRPr="00F369A2">
        <w:rPr>
          <w:rFonts w:asciiTheme="minorHAnsi" w:hAnsiTheme="minorHAnsi" w:cstheme="minorHAnsi"/>
          <w:b/>
          <w:bCs/>
          <w:color w:val="auto"/>
          <w:szCs w:val="24"/>
        </w:rPr>
        <w:t>Allegato</w:t>
      </w:r>
    </w:p>
    <w:p w14:paraId="20548856" w14:textId="77777777" w:rsidR="00332F48" w:rsidRDefault="00332F48" w:rsidP="00332F48">
      <w:pPr>
        <w:pStyle w:val="BodyText1"/>
        <w:contextualSpacing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65FEFD71" w14:textId="77777777" w:rsidR="00332F48" w:rsidRPr="00F369A2" w:rsidRDefault="00332F48" w:rsidP="00332F48">
      <w:pPr>
        <w:pStyle w:val="BodyText1"/>
        <w:contextualSpacing/>
        <w:rPr>
          <w:rFonts w:asciiTheme="minorHAnsi" w:hAnsiTheme="minorHAnsi" w:cstheme="minorHAnsi"/>
          <w:b/>
          <w:bCs/>
          <w:color w:val="auto"/>
          <w:szCs w:val="24"/>
        </w:rPr>
      </w:pPr>
      <w:r w:rsidRPr="00F369A2">
        <w:rPr>
          <w:rFonts w:asciiTheme="minorHAnsi" w:hAnsiTheme="minorHAnsi" w:cstheme="minorHAnsi"/>
          <w:b/>
          <w:bCs/>
          <w:color w:val="auto"/>
          <w:szCs w:val="24"/>
        </w:rPr>
        <w:t>Gli adolescenti in Emilia-Romagna</w:t>
      </w:r>
      <w:r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Pr="00CD26C6">
        <w:rPr>
          <w:rFonts w:asciiTheme="minorHAnsi" w:hAnsiTheme="minorHAnsi" w:cstheme="minorHAnsi"/>
          <w:color w:val="auto"/>
          <w:szCs w:val="24"/>
        </w:rPr>
        <w:t xml:space="preserve">(dati di HBSC </w:t>
      </w:r>
      <w:r w:rsidRPr="00CD26C6">
        <w:rPr>
          <w:rFonts w:asciiTheme="minorHAnsi" w:hAnsiTheme="minorHAnsi" w:cstheme="minorHAnsi"/>
          <w:b/>
          <w:bCs/>
          <w:color w:val="auto"/>
          <w:szCs w:val="24"/>
        </w:rPr>
        <w:t>2018</w:t>
      </w:r>
      <w:r w:rsidRPr="00CD26C6">
        <w:rPr>
          <w:rFonts w:asciiTheme="minorHAnsi" w:hAnsiTheme="minorHAnsi" w:cstheme="minorHAnsi"/>
          <w:color w:val="auto"/>
          <w:szCs w:val="24"/>
        </w:rPr>
        <w:t>)</w:t>
      </w:r>
    </w:p>
    <w:p w14:paraId="024DCCB8" w14:textId="77777777" w:rsidR="00332F48" w:rsidRPr="00F369A2" w:rsidRDefault="00332F48" w:rsidP="00332F48">
      <w:pPr>
        <w:pStyle w:val="BodyText1"/>
        <w:rPr>
          <w:rFonts w:asciiTheme="minorHAnsi" w:hAnsiTheme="minorHAnsi" w:cstheme="minorHAnsi"/>
          <w:color w:val="auto"/>
          <w:szCs w:val="24"/>
        </w:rPr>
      </w:pPr>
      <w:r w:rsidRPr="00F369A2">
        <w:rPr>
          <w:rFonts w:asciiTheme="minorHAnsi" w:hAnsiTheme="minorHAnsi" w:cstheme="minorHAnsi"/>
          <w:color w:val="auto"/>
          <w:szCs w:val="24"/>
        </w:rPr>
        <w:t xml:space="preserve">Praticano 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>sport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 anche 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>più volte alla settimana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 (oltre il 55% degli intervistati), coltivano uno 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>stile di vita sufficientemente sano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 e sono molto attenti alla loro immagine esteriore. 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>Fumano poco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 (l’83,1% non l’ha mai fatto), in pochi 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>fanno uso di droghe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 (l’80% non ha mai fumato cannabis) e solo 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>qualche volta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 (mediamente il 6%, due o tre volte nella vita) 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>hanno abusato nel consumo di alcolici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. </w:t>
      </w:r>
    </w:p>
    <w:p w14:paraId="7DB35B33" w14:textId="77777777" w:rsidR="00332F48" w:rsidRPr="00F369A2" w:rsidRDefault="00332F48" w:rsidP="00332F48">
      <w:pPr>
        <w:pStyle w:val="BodyText1"/>
        <w:rPr>
          <w:rFonts w:asciiTheme="minorHAnsi" w:hAnsiTheme="minorHAnsi" w:cstheme="minorHAnsi"/>
          <w:bCs/>
          <w:color w:val="auto"/>
          <w:szCs w:val="24"/>
        </w:rPr>
      </w:pPr>
      <w:r w:rsidRPr="00F369A2">
        <w:rPr>
          <w:rFonts w:asciiTheme="minorHAnsi" w:hAnsiTheme="minorHAnsi" w:cstheme="minorHAnsi"/>
          <w:color w:val="auto"/>
          <w:szCs w:val="24"/>
        </w:rPr>
        <w:t xml:space="preserve">Riferiscono 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>abitudini alimentari in maggioranza corrette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, anche se c’è 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 xml:space="preserve">ancora una percentuale </w:t>
      </w:r>
      <w:r w:rsidRPr="00F369A2">
        <w:rPr>
          <w:rFonts w:asciiTheme="minorHAnsi" w:hAnsiTheme="minorHAnsi" w:cstheme="minorHAnsi"/>
          <w:color w:val="auto"/>
          <w:szCs w:val="24"/>
        </w:rPr>
        <w:t>(20%)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 xml:space="preserve">, </w:t>
      </w:r>
      <w:r w:rsidRPr="00F369A2">
        <w:rPr>
          <w:rFonts w:asciiTheme="minorHAnsi" w:hAnsiTheme="minorHAnsi" w:cstheme="minorHAnsi"/>
          <w:color w:val="auto"/>
          <w:szCs w:val="24"/>
        </w:rPr>
        <w:t>che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 xml:space="preserve"> trascura la prima colazione, 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in particolare nella fascia di età tra i </w:t>
      </w:r>
      <w:r w:rsidRPr="00F369A2">
        <w:rPr>
          <w:rFonts w:asciiTheme="minorHAnsi" w:hAnsiTheme="minorHAnsi" w:cstheme="minorHAnsi"/>
          <w:bCs/>
          <w:color w:val="auto"/>
          <w:szCs w:val="24"/>
        </w:rPr>
        <w:t>13-15 anni; p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ermane la difficoltà nel consumo di frutta e verdura: soltanto </w:t>
      </w:r>
      <w:r w:rsidRPr="00F369A2">
        <w:rPr>
          <w:rFonts w:asciiTheme="minorHAnsi" w:hAnsiTheme="minorHAnsi" w:cstheme="minorHAnsi"/>
          <w:bCs/>
          <w:color w:val="auto"/>
          <w:szCs w:val="24"/>
        </w:rPr>
        <w:t xml:space="preserve">il </w:t>
      </w:r>
      <w:r w:rsidRPr="00F369A2">
        <w:rPr>
          <w:rFonts w:asciiTheme="minorHAnsi" w:hAnsiTheme="minorHAnsi" w:cstheme="minorHAnsi"/>
          <w:b/>
          <w:color w:val="auto"/>
          <w:szCs w:val="24"/>
        </w:rPr>
        <w:t>37,6%</w:t>
      </w:r>
      <w:r w:rsidRPr="00F369A2">
        <w:rPr>
          <w:rFonts w:asciiTheme="minorHAnsi" w:hAnsiTheme="minorHAnsi" w:cstheme="minorHAnsi"/>
          <w:bCs/>
          <w:color w:val="auto"/>
          <w:szCs w:val="24"/>
        </w:rPr>
        <w:t xml:space="preserve"> consuma la</w:t>
      </w:r>
      <w:r w:rsidRPr="00F369A2">
        <w:rPr>
          <w:rFonts w:asciiTheme="minorHAnsi" w:hAnsiTheme="minorHAnsi" w:cstheme="minorHAnsi"/>
          <w:b/>
          <w:color w:val="auto"/>
          <w:szCs w:val="24"/>
        </w:rPr>
        <w:t xml:space="preserve"> frutta </w:t>
      </w:r>
      <w:r w:rsidRPr="00F369A2">
        <w:rPr>
          <w:rFonts w:asciiTheme="minorHAnsi" w:hAnsiTheme="minorHAnsi" w:cstheme="minorHAnsi"/>
          <w:bCs/>
          <w:color w:val="auto"/>
          <w:szCs w:val="24"/>
        </w:rPr>
        <w:t xml:space="preserve">“almeno una volta al giorno” e la percentuale tende a diminuire all’aumentare dell’età e nel sesso maschile. </w:t>
      </w:r>
    </w:p>
    <w:p w14:paraId="64BEA1BF" w14:textId="77777777" w:rsidR="00332F48" w:rsidRPr="00F369A2" w:rsidRDefault="00332F48" w:rsidP="00332F48">
      <w:pPr>
        <w:pStyle w:val="BodyText1"/>
        <w:rPr>
          <w:rFonts w:asciiTheme="minorHAnsi" w:hAnsiTheme="minorHAnsi" w:cstheme="minorHAnsi"/>
          <w:color w:val="auto"/>
          <w:szCs w:val="24"/>
        </w:rPr>
      </w:pPr>
      <w:r w:rsidRPr="00F369A2">
        <w:rPr>
          <w:rFonts w:asciiTheme="minorHAnsi" w:hAnsiTheme="minorHAnsi" w:cstheme="minorHAnsi"/>
          <w:bCs/>
          <w:color w:val="auto"/>
          <w:szCs w:val="24"/>
        </w:rPr>
        <w:t xml:space="preserve">Sul piano affettivo, 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la 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>famiglia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 continua ad essere considerata un 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>riferimento importante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, in particolare i rapporti più stretti sono con le 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 xml:space="preserve">madri 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(85%), seguite dai 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 xml:space="preserve">padri 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(67%), anche se la frequenza diminuisce sensibilmente di circa un 20% con la crescita, periodo durante il quale 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 xml:space="preserve">aumentano difficoltà nel parlare delle proprie preoccupazioni con i famigliari. 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La 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>maggior parte dei ragazzi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 dichiara di “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>sentirsi accettato dai propri compagni”</w:t>
      </w:r>
      <w:r w:rsidRPr="00F369A2">
        <w:rPr>
          <w:rFonts w:asciiTheme="minorHAnsi" w:hAnsiTheme="minorHAnsi" w:cstheme="minorHAnsi"/>
          <w:color w:val="auto"/>
          <w:szCs w:val="24"/>
        </w:rPr>
        <w:t>,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Pr="00F369A2">
        <w:rPr>
          <w:rFonts w:asciiTheme="minorHAnsi" w:hAnsiTheme="minorHAnsi" w:cstheme="minorHAnsi"/>
          <w:color w:val="auto"/>
          <w:szCs w:val="24"/>
        </w:rPr>
        <w:t>anche se questa percezione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 xml:space="preserve"> si modifica nel passaggio dagli 11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 (77%) ai 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>15 anni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 (70,1%).</w:t>
      </w:r>
    </w:p>
    <w:p w14:paraId="005014A7" w14:textId="77777777" w:rsidR="00332F48" w:rsidRPr="00F369A2" w:rsidRDefault="00332F48" w:rsidP="00332F48">
      <w:pPr>
        <w:pStyle w:val="BodyText1"/>
        <w:contextualSpacing/>
        <w:rPr>
          <w:rFonts w:asciiTheme="minorHAnsi" w:eastAsia="Times New Roman" w:hAnsiTheme="minorHAnsi" w:cstheme="minorHAnsi"/>
          <w:color w:val="auto"/>
          <w:szCs w:val="24"/>
          <w:lang w:eastAsia="it-IT"/>
        </w:rPr>
      </w:pPr>
      <w:r w:rsidRPr="00F369A2">
        <w:rPr>
          <w:rFonts w:asciiTheme="minorHAnsi" w:eastAsiaTheme="majorEastAsia" w:hAnsiTheme="minorHAnsi" w:cstheme="minorHAnsi"/>
          <w:color w:val="auto"/>
          <w:szCs w:val="24"/>
        </w:rPr>
        <w:t xml:space="preserve">Il </w:t>
      </w:r>
      <w:r w:rsidRPr="00F369A2">
        <w:rPr>
          <w:rFonts w:asciiTheme="minorHAnsi" w:eastAsiaTheme="majorEastAsia" w:hAnsiTheme="minorHAnsi" w:cstheme="minorHAnsi"/>
          <w:b/>
          <w:bCs/>
          <w:color w:val="auto"/>
          <w:szCs w:val="24"/>
        </w:rPr>
        <w:t>grado di accettabilità</w:t>
      </w:r>
      <w:r w:rsidRPr="00F369A2">
        <w:rPr>
          <w:rFonts w:asciiTheme="minorHAnsi" w:eastAsiaTheme="majorEastAsia" w:hAnsiTheme="minorHAnsi" w:cstheme="minorHAnsi"/>
          <w:color w:val="auto"/>
          <w:szCs w:val="24"/>
        </w:rPr>
        <w:t xml:space="preserve"> da parte dei propri compagni è </w:t>
      </w:r>
      <w:r w:rsidRPr="00F369A2">
        <w:rPr>
          <w:rFonts w:asciiTheme="minorHAnsi" w:eastAsiaTheme="majorEastAsia" w:hAnsiTheme="minorHAnsi" w:cstheme="minorHAnsi"/>
          <w:b/>
          <w:bCs/>
          <w:color w:val="auto"/>
          <w:szCs w:val="24"/>
        </w:rPr>
        <w:t>differente tra i maschi e le femmine</w:t>
      </w:r>
      <w:r w:rsidRPr="00F369A2">
        <w:rPr>
          <w:rFonts w:asciiTheme="minorHAnsi" w:eastAsiaTheme="majorEastAsia" w:hAnsiTheme="minorHAnsi" w:cstheme="minorHAnsi"/>
          <w:color w:val="auto"/>
          <w:szCs w:val="24"/>
        </w:rPr>
        <w:t xml:space="preserve">. Ad avere </w:t>
      </w:r>
      <w:r w:rsidRPr="00F369A2">
        <w:rPr>
          <w:rFonts w:asciiTheme="minorHAnsi" w:eastAsiaTheme="majorEastAsia" w:hAnsiTheme="minorHAnsi" w:cstheme="minorHAnsi"/>
          <w:b/>
          <w:bCs/>
          <w:color w:val="auto"/>
          <w:szCs w:val="24"/>
        </w:rPr>
        <w:t>percezioni più negative</w:t>
      </w:r>
      <w:r w:rsidRPr="00F369A2">
        <w:rPr>
          <w:rFonts w:asciiTheme="minorHAnsi" w:eastAsiaTheme="majorEastAsia" w:hAnsiTheme="minorHAnsi" w:cstheme="minorHAnsi"/>
          <w:color w:val="auto"/>
          <w:szCs w:val="24"/>
        </w:rPr>
        <w:t xml:space="preserve"> sono le </w:t>
      </w:r>
      <w:r w:rsidRPr="00F369A2">
        <w:rPr>
          <w:rFonts w:asciiTheme="minorHAnsi" w:eastAsiaTheme="majorEastAsia" w:hAnsiTheme="minorHAnsi" w:cstheme="minorHAnsi"/>
          <w:b/>
          <w:bCs/>
          <w:color w:val="auto"/>
          <w:szCs w:val="24"/>
        </w:rPr>
        <w:t>ragazze</w:t>
      </w:r>
      <w:r w:rsidRPr="00F369A2">
        <w:rPr>
          <w:rFonts w:asciiTheme="minorHAnsi" w:eastAsiaTheme="majorEastAsia" w:hAnsiTheme="minorHAnsi" w:cstheme="minorHAnsi"/>
          <w:color w:val="auto"/>
          <w:szCs w:val="24"/>
        </w:rPr>
        <w:t xml:space="preserve">, soprattutto relativamente all’affermazione 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“I miei compagni mi accettano per quello che sono”. Infine, il 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>rapporto con gli insegnati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, che viene definito </w:t>
      </w:r>
      <w:r w:rsidRPr="00F369A2">
        <w:rPr>
          <w:rFonts w:asciiTheme="minorHAnsi" w:hAnsiTheme="minorHAnsi" w:cstheme="minorHAnsi"/>
          <w:b/>
          <w:bCs/>
          <w:color w:val="auto"/>
          <w:szCs w:val="24"/>
        </w:rPr>
        <w:t>“molto buono”</w:t>
      </w:r>
      <w:r w:rsidRPr="00F369A2">
        <w:rPr>
          <w:rFonts w:asciiTheme="minorHAnsi" w:hAnsiTheme="minorHAnsi" w:cstheme="minorHAnsi"/>
          <w:color w:val="auto"/>
          <w:szCs w:val="24"/>
        </w:rPr>
        <w:t xml:space="preserve"> dal 60% degli undicenni, ma diminuisce tra i ragazzi più grandi, dai 13 ai 15 anni. </w:t>
      </w:r>
    </w:p>
    <w:p w14:paraId="1B34EC3D" w14:textId="77777777" w:rsidR="00332F48" w:rsidRPr="00F369A2" w:rsidRDefault="00332F48" w:rsidP="00332F48">
      <w:pPr>
        <w:pStyle w:val="BodyText1"/>
        <w:contextualSpacing/>
        <w:rPr>
          <w:rFonts w:asciiTheme="minorHAnsi" w:hAnsiTheme="minorHAnsi" w:cstheme="minorHAnsi"/>
          <w:color w:val="auto"/>
          <w:szCs w:val="24"/>
        </w:rPr>
      </w:pPr>
    </w:p>
    <w:p w14:paraId="5857A206" w14:textId="77777777" w:rsidR="00332F48" w:rsidRPr="00F369A2" w:rsidRDefault="00332F48" w:rsidP="00332F48">
      <w:pPr>
        <w:pStyle w:val="BodyText1"/>
        <w:contextualSpacing/>
        <w:rPr>
          <w:rFonts w:asciiTheme="minorHAnsi" w:hAnsiTheme="minorHAnsi" w:cstheme="minorHAnsi"/>
          <w:b/>
          <w:bCs/>
          <w:color w:val="auto"/>
          <w:szCs w:val="24"/>
        </w:rPr>
      </w:pPr>
      <w:r w:rsidRPr="00F369A2">
        <w:rPr>
          <w:rFonts w:asciiTheme="minorHAnsi" w:hAnsiTheme="minorHAnsi" w:cstheme="minorHAnsi"/>
          <w:b/>
          <w:bCs/>
          <w:color w:val="auto"/>
          <w:szCs w:val="24"/>
        </w:rPr>
        <w:t xml:space="preserve">Metodo di rilevazione </w:t>
      </w:r>
    </w:p>
    <w:p w14:paraId="34EF9B71" w14:textId="77777777" w:rsidR="00332F48" w:rsidRPr="00F369A2" w:rsidRDefault="00332F48" w:rsidP="00332F48">
      <w:pPr>
        <w:spacing w:after="120"/>
        <w:jc w:val="both"/>
        <w:rPr>
          <w:rFonts w:cstheme="minorHAnsi"/>
          <w:sz w:val="24"/>
          <w:szCs w:val="24"/>
        </w:rPr>
      </w:pPr>
      <w:r w:rsidRPr="00F369A2">
        <w:rPr>
          <w:rFonts w:cstheme="minorHAnsi"/>
          <w:sz w:val="24"/>
          <w:szCs w:val="24"/>
        </w:rPr>
        <w:t xml:space="preserve">La rilevazione ha riguardato </w:t>
      </w:r>
      <w:r w:rsidRPr="00F369A2">
        <w:rPr>
          <w:rFonts w:eastAsia="Times New Roman" w:cstheme="minorHAnsi"/>
          <w:sz w:val="24"/>
          <w:szCs w:val="24"/>
          <w:lang w:eastAsia="it-IT"/>
        </w:rPr>
        <w:t xml:space="preserve">un </w:t>
      </w:r>
      <w:r w:rsidRPr="00F369A2">
        <w:rPr>
          <w:rFonts w:eastAsia="Times New Roman" w:cstheme="minorHAnsi"/>
          <w:b/>
          <w:bCs/>
          <w:sz w:val="24"/>
          <w:szCs w:val="24"/>
          <w:lang w:eastAsia="it-IT"/>
        </w:rPr>
        <w:t>campione</w:t>
      </w:r>
      <w:r w:rsidRPr="00F369A2">
        <w:rPr>
          <w:rFonts w:eastAsia="Times New Roman" w:cstheme="minorHAnsi"/>
          <w:sz w:val="24"/>
          <w:szCs w:val="24"/>
          <w:lang w:eastAsia="it-IT"/>
        </w:rPr>
        <w:t xml:space="preserve"> di 1.200 </w:t>
      </w:r>
      <w:r w:rsidRPr="00F369A2">
        <w:rPr>
          <w:rFonts w:eastAsia="Times New Roman" w:cstheme="minorHAnsi"/>
          <w:b/>
          <w:bCs/>
          <w:sz w:val="24"/>
          <w:szCs w:val="24"/>
          <w:lang w:eastAsia="it-IT"/>
        </w:rPr>
        <w:t xml:space="preserve">studentesse </w:t>
      </w:r>
      <w:r w:rsidRPr="00F369A2">
        <w:rPr>
          <w:rFonts w:eastAsia="Times New Roman" w:cstheme="minorHAnsi"/>
          <w:sz w:val="24"/>
          <w:szCs w:val="24"/>
          <w:lang w:eastAsia="it-IT"/>
        </w:rPr>
        <w:t>(52,1%) e</w:t>
      </w:r>
      <w:r w:rsidRPr="00F369A2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studenti </w:t>
      </w:r>
      <w:r w:rsidRPr="00F369A2">
        <w:rPr>
          <w:rFonts w:eastAsia="Times New Roman" w:cstheme="minorHAnsi"/>
          <w:sz w:val="24"/>
          <w:szCs w:val="24"/>
          <w:lang w:eastAsia="it-IT"/>
        </w:rPr>
        <w:t xml:space="preserve">(47,9%), iscritti </w:t>
      </w:r>
      <w:r w:rsidRPr="00F369A2">
        <w:rPr>
          <w:rFonts w:cstheme="minorHAnsi"/>
          <w:sz w:val="24"/>
          <w:szCs w:val="24"/>
        </w:rPr>
        <w:t xml:space="preserve">rispettivamente nelle prime e terze classi delle </w:t>
      </w:r>
      <w:r w:rsidRPr="00F369A2">
        <w:rPr>
          <w:rFonts w:cstheme="minorHAnsi"/>
          <w:b/>
          <w:bCs/>
          <w:sz w:val="24"/>
          <w:szCs w:val="24"/>
        </w:rPr>
        <w:t>scuole secondarie di 1^ grado</w:t>
      </w:r>
      <w:r w:rsidRPr="00F369A2">
        <w:rPr>
          <w:rFonts w:cstheme="minorHAnsi"/>
          <w:sz w:val="24"/>
          <w:szCs w:val="24"/>
        </w:rPr>
        <w:t xml:space="preserve"> e nelle classi seconde delle </w:t>
      </w:r>
      <w:r w:rsidRPr="00F369A2">
        <w:rPr>
          <w:rFonts w:cstheme="minorHAnsi"/>
          <w:b/>
          <w:bCs/>
          <w:sz w:val="24"/>
          <w:szCs w:val="24"/>
        </w:rPr>
        <w:t>scuole secondarie di 2^ grado</w:t>
      </w:r>
      <w:r w:rsidRPr="00F369A2">
        <w:rPr>
          <w:rFonts w:cstheme="minorHAnsi"/>
          <w:sz w:val="24"/>
          <w:szCs w:val="24"/>
        </w:rPr>
        <w:t xml:space="preserve"> (sia statali sia paritarie) </w:t>
      </w:r>
      <w:r w:rsidRPr="00F369A2">
        <w:rPr>
          <w:rFonts w:eastAsia="Times New Roman" w:cstheme="minorHAnsi"/>
          <w:b/>
          <w:bCs/>
          <w:sz w:val="24"/>
          <w:szCs w:val="24"/>
          <w:lang w:eastAsia="it-IT"/>
        </w:rPr>
        <w:t>emiliano-romagnole</w:t>
      </w:r>
      <w:r w:rsidRPr="00F369A2">
        <w:rPr>
          <w:rFonts w:eastAsia="Times New Roman" w:cstheme="minorHAnsi"/>
          <w:sz w:val="24"/>
          <w:szCs w:val="24"/>
          <w:lang w:eastAsia="it-IT"/>
        </w:rPr>
        <w:t>, che hanno risposto volontariamente e in maniera anonima e con il sostegno degli insegnanti</w:t>
      </w:r>
      <w:r w:rsidRPr="00F369A2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F369A2">
        <w:rPr>
          <w:rFonts w:eastAsia="Times New Roman" w:cstheme="minorHAnsi"/>
          <w:sz w:val="24"/>
          <w:szCs w:val="24"/>
          <w:lang w:eastAsia="it-IT"/>
        </w:rPr>
        <w:t xml:space="preserve">a un questionario su </w:t>
      </w:r>
      <w:r w:rsidRPr="00F369A2">
        <w:rPr>
          <w:rFonts w:cstheme="minorHAnsi"/>
          <w:sz w:val="24"/>
          <w:szCs w:val="24"/>
        </w:rPr>
        <w:t xml:space="preserve">dati anagrafici, classe sociale, stato di salute e benessere, autostima, rapporto con i genitori e coetanei, abitudini alimentari e dipendenze (consumo di alcol, cannabis e gioco d’azzardo). </w:t>
      </w:r>
    </w:p>
    <w:p w14:paraId="75F1264D" w14:textId="2EDBE277" w:rsidR="001650B1" w:rsidRDefault="00332F48" w:rsidP="00332F48">
      <w:r>
        <w:rPr>
          <w:rFonts w:cstheme="minorHAnsi"/>
          <w:szCs w:val="24"/>
        </w:rPr>
        <w:t>In aprile</w:t>
      </w:r>
      <w:r w:rsidRPr="00F369A2">
        <w:rPr>
          <w:rFonts w:cstheme="minorHAnsi"/>
          <w:szCs w:val="24"/>
        </w:rPr>
        <w:t xml:space="preserve"> partirà la nuova rilevazione con analoghe modalità utilizzate per le precedenti.</w:t>
      </w:r>
      <w:r w:rsidR="00FC20AA">
        <w:rPr>
          <w:rFonts w:cstheme="minorHAnsi"/>
          <w:szCs w:val="24"/>
        </w:rPr>
        <w:t>/Ti.Ga.</w:t>
      </w:r>
    </w:p>
    <w:sectPr w:rsidR="001650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dra Sans Cond Pro Light">
    <w:altName w:val="Arial"/>
    <w:panose1 w:val="00000000000000000000"/>
    <w:charset w:val="00"/>
    <w:family w:val="swiss"/>
    <w:notTrueType/>
    <w:pitch w:val="variable"/>
    <w:sig w:usb0="E00002FF" w:usb1="5001E4FB" w:usb2="00000004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48"/>
    <w:rsid w:val="00226741"/>
    <w:rsid w:val="00332F48"/>
    <w:rsid w:val="00DA1271"/>
    <w:rsid w:val="00F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60A7"/>
  <w15:chartTrackingRefBased/>
  <w15:docId w15:val="{D09E9254-4F35-4BDA-827D-AFA0A790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2F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ext1">
    <w:name w:val="Body Text 1"/>
    <w:basedOn w:val="Normale"/>
    <w:qFormat/>
    <w:rsid w:val="00332F48"/>
    <w:pPr>
      <w:spacing w:after="120" w:line="240" w:lineRule="auto"/>
      <w:jc w:val="both"/>
    </w:pPr>
    <w:rPr>
      <w:rFonts w:ascii="Fedra Sans Cond Pro Light" w:hAnsi="Fedra Sans Cond Pro Light"/>
      <w:color w:val="4D4D4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2121</Characters>
  <Application>Microsoft Office Word</Application>
  <DocSecurity>0</DocSecurity>
  <Lines>17</Lines>
  <Paragraphs>4</Paragraphs>
  <ScaleCrop>false</ScaleCrop>
  <Company>Regione Emilia-Romagna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Gardini Tiziana</dc:creator>
  <cp:keywords/>
  <dc:description/>
  <cp:lastModifiedBy>Gardini Tiziana</cp:lastModifiedBy>
  <cp:revision>2</cp:revision>
  <dcterms:created xsi:type="dcterms:W3CDTF">2022-03-01T12:21:00Z</dcterms:created>
  <dcterms:modified xsi:type="dcterms:W3CDTF">2022-03-01T12:28:00Z</dcterms:modified>
</cp:coreProperties>
</file>