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B030" w14:textId="77777777" w:rsidR="005174F6" w:rsidRDefault="005174F6" w:rsidP="00517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</w:t>
      </w:r>
    </w:p>
    <w:p w14:paraId="5007E3AC" w14:textId="77777777" w:rsidR="005174F6" w:rsidRDefault="005174F6" w:rsidP="005174F6">
      <w:pPr>
        <w:spacing w:before="80" w:after="80" w:line="240" w:lineRule="auto"/>
        <w:jc w:val="both"/>
        <w:rPr>
          <w:i/>
          <w:iCs/>
          <w:sz w:val="24"/>
          <w:szCs w:val="24"/>
        </w:rPr>
      </w:pPr>
    </w:p>
    <w:p w14:paraId="59B62D34" w14:textId="77777777" w:rsidR="005174F6" w:rsidRPr="00C15804" w:rsidRDefault="005174F6" w:rsidP="005174F6">
      <w:pPr>
        <w:spacing w:before="80" w:after="80" w:line="240" w:lineRule="auto"/>
        <w:jc w:val="both"/>
        <w:rPr>
          <w:b/>
          <w:bCs/>
          <w:sz w:val="24"/>
          <w:szCs w:val="24"/>
        </w:rPr>
      </w:pPr>
      <w:r w:rsidRPr="00C15804">
        <w:rPr>
          <w:b/>
          <w:bCs/>
          <w:sz w:val="24"/>
          <w:szCs w:val="24"/>
        </w:rPr>
        <w:t>La Data Valley e Il Tecnopolo di Bologna</w:t>
      </w:r>
    </w:p>
    <w:p w14:paraId="3CF0F710" w14:textId="77777777" w:rsidR="005174F6" w:rsidRPr="00C15804" w:rsidRDefault="005174F6" w:rsidP="005174F6">
      <w:pPr>
        <w:pStyle w:val="Default"/>
        <w:spacing w:before="80" w:after="80"/>
        <w:jc w:val="both"/>
        <w:rPr>
          <w:rFonts w:asciiTheme="minorHAnsi" w:eastAsiaTheme="minorHAnsi" w:hAnsiTheme="minorHAnsi" w:cstheme="minorHAnsi"/>
          <w:b/>
          <w:bCs/>
        </w:rPr>
      </w:pPr>
      <w:r w:rsidRPr="00C15804">
        <w:rPr>
          <w:rFonts w:asciiTheme="minorHAnsi" w:eastAsiaTheme="minorHAnsi" w:hAnsiTheme="minorHAnsi" w:cstheme="minorHAnsi"/>
        </w:rPr>
        <w:t xml:space="preserve">La </w:t>
      </w:r>
      <w:r w:rsidRPr="00C15804">
        <w:rPr>
          <w:rFonts w:asciiTheme="minorHAnsi" w:eastAsiaTheme="minorHAnsi" w:hAnsiTheme="minorHAnsi" w:cstheme="minorHAnsi"/>
          <w:b/>
          <w:bCs/>
        </w:rPr>
        <w:t>Regione Emilia-Romagna</w:t>
      </w:r>
      <w:r w:rsidRPr="00C15804">
        <w:rPr>
          <w:rFonts w:asciiTheme="minorHAnsi" w:eastAsiaTheme="minorHAnsi" w:hAnsiTheme="minorHAnsi" w:cstheme="minorHAnsi"/>
        </w:rPr>
        <w:t xml:space="preserve"> ha avviato da anni – insieme alle infrastrutture di ricerca presenti sul territorio, le Università e le imprese – un’azione senza precedenti per fare dell’Emilia-Romagna la </w:t>
      </w:r>
      <w:r w:rsidRPr="00C15804">
        <w:rPr>
          <w:rFonts w:asciiTheme="minorHAnsi" w:eastAsiaTheme="minorHAnsi" w:hAnsiTheme="minorHAnsi" w:cstheme="minorHAnsi"/>
          <w:b/>
          <w:bCs/>
        </w:rPr>
        <w:t xml:space="preserve">Data Valley europea. </w:t>
      </w:r>
    </w:p>
    <w:p w14:paraId="0342EC1F" w14:textId="77777777" w:rsidR="005174F6" w:rsidRPr="004611C6" w:rsidRDefault="005174F6" w:rsidP="005174F6">
      <w:pPr>
        <w:pStyle w:val="Default"/>
        <w:spacing w:before="80" w:after="80"/>
        <w:jc w:val="both"/>
        <w:rPr>
          <w:rFonts w:asciiTheme="minorHAnsi" w:eastAsiaTheme="minorHAnsi" w:hAnsiTheme="minorHAnsi" w:cstheme="minorHAnsi"/>
        </w:rPr>
      </w:pPr>
      <w:r w:rsidRPr="004611C6">
        <w:rPr>
          <w:rFonts w:asciiTheme="minorHAnsi" w:eastAsiaTheme="minorHAnsi" w:hAnsiTheme="minorHAnsi" w:cstheme="minorHAnsi"/>
        </w:rPr>
        <w:t xml:space="preserve">Cuore del sistema le </w:t>
      </w:r>
      <w:r w:rsidRPr="004611C6">
        <w:rPr>
          <w:rFonts w:asciiTheme="minorHAnsi" w:eastAsiaTheme="minorHAnsi" w:hAnsiTheme="minorHAnsi" w:cstheme="minorHAnsi"/>
          <w:b/>
          <w:bCs/>
        </w:rPr>
        <w:t>reti regionali dei Tecnopoli</w:t>
      </w:r>
      <w:r w:rsidRPr="004611C6">
        <w:rPr>
          <w:rFonts w:asciiTheme="minorHAnsi" w:eastAsiaTheme="minorHAnsi" w:hAnsiTheme="minorHAnsi" w:cstheme="minorHAnsi"/>
        </w:rPr>
        <w:t>, dell’</w:t>
      </w:r>
      <w:r w:rsidRPr="004611C6">
        <w:rPr>
          <w:rFonts w:asciiTheme="minorHAnsi" w:eastAsiaTheme="minorHAnsi" w:hAnsiTheme="minorHAnsi" w:cstheme="minorHAnsi"/>
          <w:b/>
          <w:bCs/>
        </w:rPr>
        <w:t xml:space="preserve">Alta Tecnologia </w:t>
      </w:r>
      <w:r w:rsidRPr="004611C6">
        <w:rPr>
          <w:rFonts w:asciiTheme="minorHAnsi" w:eastAsiaTheme="minorHAnsi" w:hAnsiTheme="minorHAnsi" w:cstheme="minorHAnsi"/>
        </w:rPr>
        <w:t>e dell’</w:t>
      </w:r>
      <w:r w:rsidRPr="004611C6">
        <w:rPr>
          <w:rFonts w:asciiTheme="minorHAnsi" w:eastAsiaTheme="minorHAnsi" w:hAnsiTheme="minorHAnsi" w:cstheme="minorHAnsi"/>
          <w:b/>
          <w:bCs/>
        </w:rPr>
        <w:t xml:space="preserve">Alta </w:t>
      </w:r>
      <w:r>
        <w:rPr>
          <w:rFonts w:asciiTheme="minorHAnsi" w:eastAsiaTheme="minorHAnsi" w:hAnsiTheme="minorHAnsi" w:cstheme="minorHAnsi"/>
          <w:b/>
          <w:bCs/>
        </w:rPr>
        <w:t>F</w:t>
      </w:r>
      <w:r w:rsidRPr="004611C6">
        <w:rPr>
          <w:rFonts w:asciiTheme="minorHAnsi" w:eastAsiaTheme="minorHAnsi" w:hAnsiTheme="minorHAnsi" w:cstheme="minorHAnsi"/>
          <w:b/>
          <w:bCs/>
        </w:rPr>
        <w:t>ormazione</w:t>
      </w:r>
      <w:r w:rsidRPr="004611C6">
        <w:rPr>
          <w:rFonts w:asciiTheme="minorHAnsi" w:eastAsiaTheme="minorHAnsi" w:hAnsiTheme="minorHAnsi" w:cstheme="minorHAnsi"/>
        </w:rPr>
        <w:t>.</w:t>
      </w:r>
    </w:p>
    <w:p w14:paraId="3969036E" w14:textId="77777777" w:rsidR="005174F6" w:rsidRPr="00C15804" w:rsidRDefault="005174F6" w:rsidP="005174F6">
      <w:pPr>
        <w:pStyle w:val="Default"/>
        <w:spacing w:before="80" w:after="80"/>
        <w:jc w:val="both"/>
      </w:pPr>
      <w:r w:rsidRPr="004611C6">
        <w:rPr>
          <w:rFonts w:asciiTheme="minorHAnsi" w:eastAsiaTheme="minorHAnsi" w:hAnsiTheme="minorHAnsi" w:cstheme="minorHAnsi"/>
        </w:rPr>
        <w:t xml:space="preserve">Insieme al </w:t>
      </w:r>
      <w:r w:rsidRPr="00C15804">
        <w:rPr>
          <w:rFonts w:asciiTheme="minorHAnsi" w:eastAsiaTheme="minorHAnsi" w:hAnsiTheme="minorHAnsi" w:cstheme="minorHAnsi"/>
          <w:b/>
          <w:bCs/>
        </w:rPr>
        <w:t>Tecnopolo</w:t>
      </w:r>
      <w:r>
        <w:rPr>
          <w:rFonts w:asciiTheme="minorHAnsi" w:eastAsiaTheme="minorHAnsi" w:hAnsiTheme="minorHAnsi" w:cstheme="minorHAnsi"/>
          <w:b/>
          <w:bCs/>
        </w:rPr>
        <w:t xml:space="preserve"> di Bologna</w:t>
      </w:r>
      <w:r w:rsidRPr="00C15804">
        <w:rPr>
          <w:rFonts w:asciiTheme="minorHAnsi" w:eastAsiaTheme="minorHAnsi" w:hAnsiTheme="minorHAnsi" w:cstheme="minorHAnsi"/>
          <w:b/>
          <w:bCs/>
        </w:rPr>
        <w:t xml:space="preserve"> </w:t>
      </w:r>
      <w:r w:rsidRPr="00C15804">
        <w:t xml:space="preserve">che </w:t>
      </w:r>
      <w:r>
        <w:t>si sta completando</w:t>
      </w:r>
      <w:r w:rsidRPr="00C15804">
        <w:t xml:space="preserve"> negli oltre 120.000 m</w:t>
      </w:r>
      <w:r>
        <w:t>etri quadrati</w:t>
      </w:r>
      <w:r w:rsidRPr="00C15804">
        <w:t xml:space="preserve"> di superficie dell’ex Manifattura Tabacchi</w:t>
      </w:r>
      <w:r>
        <w:t xml:space="preserve"> del capoluogo emiliano</w:t>
      </w:r>
      <w:r w:rsidRPr="00C15804">
        <w:t xml:space="preserve">. Hub nazionale ed europeo grazie a </w:t>
      </w:r>
      <w:r w:rsidRPr="00C15804">
        <w:rPr>
          <w:b/>
          <w:bCs/>
        </w:rPr>
        <w:t>Leonardo</w:t>
      </w:r>
      <w:r w:rsidRPr="00C15804">
        <w:t xml:space="preserve"> e alle altre infrastrutture tecnologiche ospitate - dal </w:t>
      </w:r>
      <w:r w:rsidRPr="00C15804">
        <w:rPr>
          <w:b/>
          <w:bCs/>
        </w:rPr>
        <w:t xml:space="preserve">Data Center </w:t>
      </w:r>
      <w:r w:rsidRPr="00C15804">
        <w:t xml:space="preserve">del </w:t>
      </w:r>
      <w:r w:rsidRPr="00C15804">
        <w:rPr>
          <w:b/>
          <w:bCs/>
        </w:rPr>
        <w:t xml:space="preserve">Centro </w:t>
      </w:r>
      <w:r>
        <w:rPr>
          <w:b/>
          <w:bCs/>
        </w:rPr>
        <w:t xml:space="preserve">meteo </w:t>
      </w:r>
      <w:r w:rsidRPr="00C15804">
        <w:rPr>
          <w:b/>
          <w:bCs/>
        </w:rPr>
        <w:t>europeo</w:t>
      </w:r>
      <w:r w:rsidRPr="00C15804">
        <w:t xml:space="preserve"> a</w:t>
      </w:r>
      <w:r>
        <w:t>l</w:t>
      </w:r>
      <w:r w:rsidRPr="00C15804">
        <w:t xml:space="preserve"> </w:t>
      </w:r>
      <w:r w:rsidRPr="00C15804">
        <w:rPr>
          <w:b/>
          <w:bCs/>
        </w:rPr>
        <w:t xml:space="preserve">supercomputer dell’Istituto nazionale </w:t>
      </w:r>
      <w:r>
        <w:rPr>
          <w:b/>
          <w:bCs/>
        </w:rPr>
        <w:t xml:space="preserve">di </w:t>
      </w:r>
      <w:r w:rsidRPr="00C15804">
        <w:rPr>
          <w:b/>
          <w:bCs/>
        </w:rPr>
        <w:t>fisica nucleare</w:t>
      </w:r>
      <w:r w:rsidRPr="00914C4B">
        <w:t xml:space="preserve">, oltre alle sedi di </w:t>
      </w:r>
      <w:r>
        <w:rPr>
          <w:b/>
          <w:bCs/>
        </w:rPr>
        <w:t>Agenzia Italia Meteo</w:t>
      </w:r>
      <w:r w:rsidRPr="00914C4B">
        <w:t xml:space="preserve"> e di tutti i principali enti scientifici di ricerca italiani.</w:t>
      </w:r>
      <w:r w:rsidRPr="00C15804">
        <w:rPr>
          <w:b/>
          <w:bCs/>
        </w:rPr>
        <w:t xml:space="preserve"> </w:t>
      </w:r>
      <w:r>
        <w:t>Qui</w:t>
      </w:r>
      <w:r w:rsidRPr="00C15804">
        <w:t xml:space="preserve"> troveranno lavoro circa 1.500 tra ricercatori, tecnici e addetti. </w:t>
      </w:r>
    </w:p>
    <w:p w14:paraId="0CB56636" w14:textId="77777777" w:rsidR="005174F6" w:rsidRPr="00C15804" w:rsidRDefault="005174F6" w:rsidP="005174F6">
      <w:pPr>
        <w:pStyle w:val="Default"/>
        <w:spacing w:before="80" w:after="80"/>
        <w:jc w:val="both"/>
        <w:rPr>
          <w:b/>
          <w:bCs/>
        </w:rPr>
      </w:pPr>
      <w:r w:rsidRPr="00AD2F6C">
        <w:t>Non solo. L’</w:t>
      </w:r>
      <w:r w:rsidRPr="00AD2F6C">
        <w:rPr>
          <w:b/>
          <w:bCs/>
        </w:rPr>
        <w:t>International Foundation Big Data &amp; Artificial Intelligence for human development (iFab</w:t>
      </w:r>
      <w:r w:rsidRPr="00AD2F6C">
        <w:t>) ha l’obiettivo di</w:t>
      </w:r>
      <w:r w:rsidRPr="00AD2F6C">
        <w:rPr>
          <w:b/>
          <w:bCs/>
        </w:rPr>
        <w:t xml:space="preserve"> </w:t>
      </w:r>
      <w:r w:rsidRPr="00C15804">
        <w:t>consolidare e integrare le capacità scientifiche del Paese per sostenere il rilancio e l’innovazione sostenibili dell’intero sistema produttivo. iFab vede la partecipazione delle più importanti istituzioni scientifiche regional</w:t>
      </w:r>
      <w:r>
        <w:t>i</w:t>
      </w:r>
      <w:r w:rsidRPr="00C15804">
        <w:t xml:space="preserve"> e nazional</w:t>
      </w:r>
      <w:r>
        <w:t>i</w:t>
      </w:r>
      <w:r w:rsidRPr="00C15804">
        <w:t xml:space="preserve"> attraverso </w:t>
      </w:r>
      <w:r w:rsidRPr="00C15804">
        <w:rPr>
          <w:b/>
          <w:bCs/>
        </w:rPr>
        <w:t>l’Associazione Big Data</w:t>
      </w:r>
      <w:r w:rsidRPr="00C15804">
        <w:t xml:space="preserve"> (Università, Cnr, Enea, Inaf, Infn, Cineca, Cmcc) e di importanti imprese italiane e internazionali (Unipol, Eni, Atos). </w:t>
      </w:r>
    </w:p>
    <w:p w14:paraId="261EE888" w14:textId="77777777" w:rsidR="005174F6" w:rsidRPr="00C15804" w:rsidRDefault="005174F6" w:rsidP="005174F6">
      <w:pPr>
        <w:spacing w:before="80" w:after="80" w:line="240" w:lineRule="auto"/>
        <w:jc w:val="both"/>
        <w:rPr>
          <w:b/>
          <w:bCs/>
          <w:sz w:val="24"/>
          <w:szCs w:val="24"/>
        </w:rPr>
      </w:pPr>
    </w:p>
    <w:p w14:paraId="0ACB64C1" w14:textId="77777777" w:rsidR="005174F6" w:rsidRPr="00C15804" w:rsidRDefault="005174F6" w:rsidP="005174F6">
      <w:pPr>
        <w:spacing w:before="80" w:after="80" w:line="240" w:lineRule="auto"/>
        <w:jc w:val="both"/>
        <w:rPr>
          <w:b/>
          <w:bCs/>
          <w:sz w:val="24"/>
          <w:szCs w:val="24"/>
        </w:rPr>
      </w:pPr>
      <w:r w:rsidRPr="00C15804">
        <w:rPr>
          <w:b/>
          <w:bCs/>
          <w:sz w:val="24"/>
          <w:szCs w:val="24"/>
        </w:rPr>
        <w:t>La Silicon Valley</w:t>
      </w:r>
    </w:p>
    <w:p w14:paraId="37E4EE32" w14:textId="77777777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  <w:r w:rsidRPr="00C15804">
        <w:rPr>
          <w:sz w:val="24"/>
          <w:szCs w:val="24"/>
        </w:rPr>
        <w:t>Centro dell’ecosistema</w:t>
      </w:r>
      <w:r w:rsidRPr="00C15804">
        <w:rPr>
          <w:b/>
          <w:bCs/>
          <w:sz w:val="24"/>
          <w:szCs w:val="24"/>
        </w:rPr>
        <w:t xml:space="preserve"> </w:t>
      </w:r>
      <w:r w:rsidRPr="006373B9">
        <w:rPr>
          <w:sz w:val="24"/>
          <w:szCs w:val="24"/>
        </w:rPr>
        <w:t>mondiale dell’innovazione</w:t>
      </w:r>
      <w:r>
        <w:rPr>
          <w:sz w:val="24"/>
          <w:szCs w:val="24"/>
        </w:rPr>
        <w:t>,</w:t>
      </w:r>
      <w:r w:rsidRPr="00C15804">
        <w:rPr>
          <w:sz w:val="24"/>
          <w:szCs w:val="24"/>
        </w:rPr>
        <w:t xml:space="preserve"> è una penisola lunga 70 chilometri abitata da oltre 3milioni di persone e con la più alta concentrazione di stranieri di tutti gli Stati Uniti: oltre il 36% rispetto a una media del 13%. Qui si concentrano 150 società dal valore di oltre 1 miliardo di dollari, sulle 300 presenti a livello globale; 30mila start up e il 43% degli investimenti nei settori ad alto tasso di innovazione e attrattività. Alta la presenza di hub europei, ma quello della </w:t>
      </w:r>
      <w:r w:rsidRPr="006373B9">
        <w:rPr>
          <w:b/>
          <w:bCs/>
          <w:sz w:val="24"/>
          <w:szCs w:val="24"/>
        </w:rPr>
        <w:t>Regione Emilia-Romagna</w:t>
      </w:r>
      <w:r w:rsidRPr="00C15804">
        <w:rPr>
          <w:sz w:val="24"/>
          <w:szCs w:val="24"/>
        </w:rPr>
        <w:t xml:space="preserve"> con il </w:t>
      </w:r>
      <w:r w:rsidRPr="00C15804">
        <w:rPr>
          <w:b/>
          <w:bCs/>
          <w:sz w:val="24"/>
          <w:szCs w:val="24"/>
        </w:rPr>
        <w:t>programma dedicato alle start up high tech</w:t>
      </w:r>
      <w:r w:rsidRPr="00C15804">
        <w:rPr>
          <w:sz w:val="24"/>
          <w:szCs w:val="24"/>
        </w:rPr>
        <w:t xml:space="preserve"> è stato per anni l’unico riferimento italiano attivo. Quasi un centinaio le imprese innovative che dal 2015 hanno beneficiato dell’azione regionale.</w:t>
      </w:r>
    </w:p>
    <w:p w14:paraId="6492C2D6" w14:textId="77777777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</w:p>
    <w:p w14:paraId="6D49814D" w14:textId="77777777" w:rsidR="005174F6" w:rsidRPr="00C15804" w:rsidRDefault="005174F6" w:rsidP="005174F6">
      <w:pPr>
        <w:spacing w:before="80" w:after="80" w:line="240" w:lineRule="auto"/>
        <w:jc w:val="both"/>
        <w:rPr>
          <w:b/>
          <w:bCs/>
          <w:sz w:val="24"/>
          <w:szCs w:val="24"/>
        </w:rPr>
      </w:pPr>
      <w:r w:rsidRPr="00C15804">
        <w:rPr>
          <w:b/>
          <w:bCs/>
          <w:sz w:val="24"/>
          <w:szCs w:val="24"/>
        </w:rPr>
        <w:t>Nvidia</w:t>
      </w:r>
    </w:p>
    <w:p w14:paraId="37F266F3" w14:textId="299D4E46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E’</w:t>
      </w:r>
      <w:r w:rsidRPr="00C15804">
        <w:rPr>
          <w:sz w:val="24"/>
          <w:szCs w:val="24"/>
        </w:rPr>
        <w:t xml:space="preserve"> una grande azienda statunitense specializzata nella progettazione di </w:t>
      </w:r>
      <w:r w:rsidRPr="00C15804">
        <w:rPr>
          <w:b/>
          <w:bCs/>
          <w:i/>
          <w:iCs/>
          <w:sz w:val="24"/>
          <w:szCs w:val="24"/>
        </w:rPr>
        <w:t>Graphic Processing Unit</w:t>
      </w:r>
      <w:r w:rsidRPr="00C15804">
        <w:rPr>
          <w:i/>
          <w:iCs/>
          <w:sz w:val="24"/>
          <w:szCs w:val="24"/>
        </w:rPr>
        <w:t xml:space="preserve"> </w:t>
      </w:r>
      <w:r w:rsidRPr="00C15804">
        <w:rPr>
          <w:sz w:val="24"/>
          <w:szCs w:val="24"/>
        </w:rPr>
        <w:t>ad alte prestazioni per i mercati come i Data Center, le applicazioni di intelligenza artificiale, i giochi.</w:t>
      </w:r>
    </w:p>
    <w:p w14:paraId="69645B68" w14:textId="77777777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  <w:r w:rsidRPr="00C15804">
        <w:rPr>
          <w:sz w:val="24"/>
          <w:szCs w:val="24"/>
        </w:rPr>
        <w:t xml:space="preserve">Di lunga data la </w:t>
      </w:r>
      <w:r w:rsidRPr="00C15804">
        <w:rPr>
          <w:b/>
          <w:bCs/>
          <w:sz w:val="24"/>
          <w:szCs w:val="24"/>
        </w:rPr>
        <w:t>collaborazione con il Cineca</w:t>
      </w:r>
      <w:r w:rsidRPr="00C15804">
        <w:rPr>
          <w:sz w:val="24"/>
          <w:szCs w:val="24"/>
        </w:rPr>
        <w:t xml:space="preserve"> nella co-progettazione di hardware per il calcolo ad alte prestazioni. Nell’ambito del supercomputer Leonardo</w:t>
      </w:r>
      <w:r>
        <w:rPr>
          <w:sz w:val="24"/>
          <w:szCs w:val="24"/>
        </w:rPr>
        <w:t>,</w:t>
      </w:r>
      <w:r w:rsidRPr="00C15804">
        <w:rPr>
          <w:sz w:val="24"/>
          <w:szCs w:val="24"/>
        </w:rPr>
        <w:t xml:space="preserve"> Nvidia ha sviluppato un acceleratore dedicato denominato “</w:t>
      </w:r>
      <w:r w:rsidRPr="006373B9">
        <w:rPr>
          <w:b/>
          <w:bCs/>
          <w:sz w:val="24"/>
          <w:szCs w:val="24"/>
        </w:rPr>
        <w:t>Ampere Plus</w:t>
      </w:r>
      <w:r w:rsidRPr="00C15804">
        <w:rPr>
          <w:sz w:val="24"/>
          <w:szCs w:val="24"/>
        </w:rPr>
        <w:t>”, che ha portato un notevole vantaggio competitivo della macchina rispetto ai suoi concorrenti.</w:t>
      </w:r>
    </w:p>
    <w:p w14:paraId="4A138A89" w14:textId="77777777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</w:p>
    <w:p w14:paraId="6AB676DE" w14:textId="77777777" w:rsidR="005174F6" w:rsidRPr="00C15804" w:rsidRDefault="005174F6" w:rsidP="005174F6">
      <w:pPr>
        <w:pStyle w:val="Default"/>
        <w:spacing w:before="80" w:after="80"/>
        <w:jc w:val="both"/>
      </w:pPr>
    </w:p>
    <w:p w14:paraId="74FB1F54" w14:textId="77777777" w:rsidR="005174F6" w:rsidRDefault="005174F6" w:rsidP="005174F6">
      <w:pPr>
        <w:spacing w:before="80" w:after="80" w:line="240" w:lineRule="auto"/>
        <w:rPr>
          <w:sz w:val="24"/>
          <w:szCs w:val="24"/>
        </w:rPr>
      </w:pPr>
    </w:p>
    <w:p w14:paraId="60EDBCF2" w14:textId="77777777" w:rsidR="005174F6" w:rsidRPr="00C15804" w:rsidRDefault="005174F6" w:rsidP="005174F6">
      <w:pPr>
        <w:spacing w:before="80" w:after="80" w:line="240" w:lineRule="auto"/>
        <w:jc w:val="both"/>
        <w:rPr>
          <w:sz w:val="24"/>
          <w:szCs w:val="24"/>
        </w:rPr>
      </w:pPr>
    </w:p>
    <w:p w14:paraId="50F7E15F" w14:textId="77777777" w:rsidR="00B97FA0" w:rsidRDefault="00B97FA0"/>
    <w:sectPr w:rsidR="00B97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F6"/>
    <w:rsid w:val="005174F6"/>
    <w:rsid w:val="0063667A"/>
    <w:rsid w:val="00B97FA0"/>
    <w:rsid w:val="00C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DD92"/>
  <w15:chartTrackingRefBased/>
  <w15:docId w15:val="{B0A973D1-535D-4FFF-8B0C-D0A20815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74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74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2022-11-11T09:26:00Z</dcterms:created>
  <dcterms:modified xsi:type="dcterms:W3CDTF">2022-11-11T10:12:00Z</dcterms:modified>
</cp:coreProperties>
</file>