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8DFB" w14:textId="77777777" w:rsidR="00DC3376" w:rsidRPr="00CC7F00" w:rsidRDefault="00DC3376" w:rsidP="00DC3376">
      <w:pPr>
        <w:jc w:val="both"/>
        <w:rPr>
          <w:rFonts w:cstheme="minorHAnsi"/>
          <w:sz w:val="24"/>
          <w:szCs w:val="24"/>
        </w:rPr>
      </w:pPr>
      <w:r w:rsidRPr="00CC7F00">
        <w:rPr>
          <w:rStyle w:val="normaltextrun"/>
          <w:rFonts w:cstheme="minorHAnsi"/>
          <w:b/>
          <w:bCs/>
          <w:color w:val="000000"/>
          <w:sz w:val="24"/>
          <w:szCs w:val="24"/>
        </w:rPr>
        <w:t xml:space="preserve">Scheda/ I dati sulla violenza </w:t>
      </w:r>
    </w:p>
    <w:p w14:paraId="251A92A7" w14:textId="77777777" w:rsidR="00DC3376" w:rsidRPr="00CC7F00" w:rsidRDefault="00DC3376" w:rsidP="00DC3376">
      <w:pPr>
        <w:jc w:val="both"/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  <w:r w:rsidRPr="00CC7F00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Nel corso del 2021, </w:t>
      </w:r>
      <w:r w:rsidRPr="00CC7F00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4.934 donne hanno contattato un Centro antiviolenza</w:t>
      </w:r>
      <w:r w:rsidRPr="00CC7F00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. Un dato in crescita, dopo la flessione registrata nel 2020 quando erano state 4.614 le donne che si erano rivolte a uno dei </w:t>
      </w:r>
      <w:r w:rsidRPr="00303CEE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22 Centri presenti in Emilia-Romagna</w:t>
      </w:r>
      <w:r w:rsidRPr="00CC7F00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14:paraId="0778DA8D" w14:textId="77777777" w:rsidR="00DC3376" w:rsidRDefault="00DC3376" w:rsidP="00DC3376">
      <w:pPr>
        <w:jc w:val="both"/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  <w:r w:rsidRPr="00CC7F00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In particolare, se da un lato diminuiscono i contatti a distanza (telefono, chat, mail), che nel 2020 avevano avuto una crescita significativa come effetto dei lockdown e delle misure di emergenza dovute alla pandemia, dall’altro sono i </w:t>
      </w:r>
      <w:r w:rsidRPr="00303CEE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contatti diretti che continuano a crescere</w:t>
      </w:r>
      <w:r w:rsidRPr="00CC7F00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anche nel 2021. </w:t>
      </w:r>
      <w:r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42650A72" w14:textId="77777777" w:rsidR="00DC3376" w:rsidRPr="00CC7F00" w:rsidRDefault="00DC3376" w:rsidP="00DC3376">
      <w:pPr>
        <w:jc w:val="both"/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  <w:bookmarkStart w:id="0" w:name="_Hlk119661072"/>
      <w:r w:rsidRPr="00CC7F00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Una prima </w:t>
      </w:r>
      <w:r w:rsidRPr="00CC7F00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anticipazione sul 2022</w:t>
      </w:r>
      <w:r w:rsidRPr="00CC7F00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, limitata tuttavia a 16 Centri, </w:t>
      </w:r>
      <w:r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indica che </w:t>
      </w:r>
      <w:r w:rsidRPr="00CC7F00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tra gennaio e maggio hanno preso contatto con un Centro antiviolenza </w:t>
      </w:r>
      <w:r w:rsidRPr="00CC7F00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1.749 donne</w:t>
      </w:r>
      <w:r w:rsidRPr="00CC7F00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bookmarkEnd w:id="0"/>
      <w:r w:rsidRPr="00CC7F00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a distanza o in presenza. </w:t>
      </w:r>
    </w:p>
    <w:p w14:paraId="394E8C3C" w14:textId="77777777" w:rsidR="00DC3376" w:rsidRPr="00CC7F00" w:rsidRDefault="00DC3376" w:rsidP="00DC3376">
      <w:pPr>
        <w:jc w:val="both"/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  <w:r w:rsidRPr="00CC7F00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Questi alcuni dei dati </w:t>
      </w:r>
      <w:r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contenuti nel </w:t>
      </w:r>
      <w:r w:rsidRPr="00FB7297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Rapporto sulla</w:t>
      </w:r>
      <w:r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CC7F00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violenza di </w:t>
      </w:r>
      <w:proofErr w:type="gramStart"/>
      <w:r w:rsidRPr="00CC7F00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genere</w:t>
      </w:r>
      <w:r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7F00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della</w:t>
      </w:r>
      <w:proofErr w:type="gramEnd"/>
      <w:r w:rsidRPr="00CC7F00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Regione. </w:t>
      </w:r>
    </w:p>
    <w:p w14:paraId="1566A4F4" w14:textId="77777777" w:rsidR="00DC3376" w:rsidRPr="00CC7F00" w:rsidRDefault="00DC3376" w:rsidP="00DC33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</w:rPr>
      </w:pPr>
      <w:r w:rsidRPr="00CC7F00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</w:rPr>
        <w:t xml:space="preserve">Dati che possono essere affiancati a quelli delle chiamate al </w:t>
      </w:r>
      <w:r w:rsidRPr="00CC7F00">
        <w:rPr>
          <w:rStyle w:val="normaltextrun"/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1522 il numero di pubblica utilità</w:t>
      </w:r>
      <w:r w:rsidRPr="00CC7F00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</w:rPr>
        <w:t xml:space="preserve"> promosso e gestito dal 2006 dal </w:t>
      </w:r>
      <w:r w:rsidRPr="00467BBB">
        <w:rPr>
          <w:rStyle w:val="normaltextrun"/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Dipartimento per le Pari opportunità</w:t>
      </w:r>
      <w:r w:rsidRPr="00CC7F00"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</w:rPr>
        <w:t xml:space="preserve"> per sostenere e aiutare le vittime di violenza e stalking.</w:t>
      </w:r>
    </w:p>
    <w:p w14:paraId="1DD2DF3D" w14:textId="77777777" w:rsidR="00DC3376" w:rsidRPr="00CC7F00" w:rsidRDefault="00DC3376" w:rsidP="00DC33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bdr w:val="none" w:sz="0" w:space="0" w:color="auto" w:frame="1"/>
        </w:rPr>
      </w:pPr>
    </w:p>
    <w:p w14:paraId="3DCADC49" w14:textId="77777777" w:rsidR="00DC3376" w:rsidRDefault="00DC3376" w:rsidP="00DC33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CC7F0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Dopo il picco del secondo trimestre 2020 (periodo del primo e più stringente lockdown), il numero di chiamate provenienti dall’Emilia-Romagna nel 2021 è tornato su valori trimestrali più stabili, ma comunque in crescita.  </w:t>
      </w:r>
    </w:p>
    <w:p w14:paraId="2A71AE0B" w14:textId="77777777" w:rsidR="00DC3376" w:rsidRDefault="00DC3376" w:rsidP="00DC33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p w14:paraId="662EA772" w14:textId="77777777" w:rsidR="00DC3376" w:rsidRDefault="00DC3376" w:rsidP="00DC33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CC7F0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Complessivamente 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nel 2021 </w:t>
      </w:r>
      <w:r w:rsidRPr="00CC7F0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sono state </w:t>
      </w:r>
      <w:r w:rsidRPr="00CC7F00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1.667 le chiamate, </w:t>
      </w:r>
      <w:r w:rsidRPr="00B54DAA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di cui</w:t>
      </w:r>
      <w:r w:rsidRPr="00CC7F00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994 </w:t>
      </w:r>
      <w:r w:rsidRPr="00CC7F0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da parte di</w:t>
      </w:r>
      <w:r w:rsidRPr="00CC7F00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donne vittime di violenza</w:t>
      </w:r>
      <w:r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o stalking</w:t>
      </w:r>
      <w:r w:rsidRPr="00CC7F0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CC7F0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Nel 2020 le </w:t>
      </w:r>
      <w:r w:rsidRPr="001170C6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chiamate erano state</w:t>
      </w:r>
      <w:r w:rsidRPr="00CC7F00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1.606, </w:t>
      </w:r>
      <w:r w:rsidRPr="00CC7F0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delle quali da</w:t>
      </w:r>
      <w:r w:rsidRPr="00CC7F00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vittime di violenza</w:t>
      </w:r>
      <w:r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o stalking</w:t>
      </w:r>
      <w:r w:rsidRPr="00CC7F00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913</w:t>
      </w:r>
      <w:r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. </w:t>
      </w:r>
    </w:p>
    <w:p w14:paraId="26DABD3F" w14:textId="77777777" w:rsidR="00DC3376" w:rsidRDefault="00DC3376" w:rsidP="00DC33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309AE4E4" w14:textId="77777777" w:rsidR="00DC3376" w:rsidRPr="00CC7F00" w:rsidRDefault="00DC3376" w:rsidP="00DC33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E n</w:t>
      </w:r>
      <w:r w:rsidRPr="00FF4101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ei primi</w:t>
      </w:r>
      <w:r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tre mesi del 2022 </w:t>
      </w:r>
      <w:r w:rsidRPr="001170C6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sono state</w:t>
      </w:r>
      <w:r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370, di cui 191 da vittime di violenza.</w:t>
      </w:r>
    </w:p>
    <w:p w14:paraId="414BD1D9" w14:textId="77777777" w:rsidR="00DC3376" w:rsidRPr="00CC7F00" w:rsidRDefault="00DC3376" w:rsidP="00DC33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14BE5591" w14:textId="77777777" w:rsidR="00DC3376" w:rsidRPr="00CC7F00" w:rsidRDefault="00DC3376" w:rsidP="00DC33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FF4101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Per quanto riguarda gli</w:t>
      </w:r>
      <w:r w:rsidRPr="00FF4101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accessi al Pronto soccorso, </w:t>
      </w:r>
      <w:r w:rsidRPr="00FF4101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i dati dell’Osservatorio regionale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sulla violenza di genere</w:t>
      </w:r>
      <w:r w:rsidRPr="00FF4101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indicano per il triennio 2019-2021 in </w:t>
      </w:r>
      <w:r w:rsidRPr="00FF4101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>1.670 le donne</w:t>
      </w:r>
      <w:r w:rsidRPr="00FF4101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che hanno avuto almeno un accesso conclusosi con diagnosi di violenza, per un numero totale di accessi con diagnosi di violenza pari a 1.753 (1,05 accessi pro capite). In circa il 61% dei casi, la donna si è recata autonomamente al PS, nel 30% l’accesso è avvenuto mediante il 118 e in circa il 3% su invio da parte di un medico.</w:t>
      </w: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64E54615" w14:textId="77777777" w:rsidR="00DC3376" w:rsidRPr="00CC7F00" w:rsidRDefault="00DC3376" w:rsidP="00DC33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</w:p>
    <w:p w14:paraId="4ABE8C7D" w14:textId="77777777" w:rsidR="00DC3376" w:rsidRPr="00CC7F00" w:rsidRDefault="00DC3376" w:rsidP="00DC337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  <w:shd w:val="clear" w:color="auto" w:fill="FFFFFF"/>
        </w:rPr>
      </w:pPr>
      <w:r w:rsidRPr="00CC7F00">
        <w:rPr>
          <w:rStyle w:val="normaltextrun"/>
          <w:rFonts w:asciiTheme="minorHAnsi" w:hAnsiTheme="minorHAnsi" w:cstheme="minorHAnsi"/>
        </w:rPr>
        <w:t xml:space="preserve">Mentre nel 2021 sono state 245 le donne </w:t>
      </w:r>
      <w:proofErr w:type="gramStart"/>
      <w:r w:rsidRPr="00CC7F00">
        <w:rPr>
          <w:rStyle w:val="normaltextrun"/>
          <w:rFonts w:asciiTheme="minorHAnsi" w:hAnsiTheme="minorHAnsi" w:cstheme="minorHAnsi"/>
        </w:rPr>
        <w:t>accolte</w:t>
      </w:r>
      <w:r w:rsidRPr="00CC7F00"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Pr="00CC7F00">
        <w:rPr>
          <w:rStyle w:val="normaltextrun"/>
          <w:rFonts w:asciiTheme="minorHAnsi" w:hAnsiTheme="minorHAnsi" w:cstheme="minorHAnsi"/>
        </w:rPr>
        <w:t xml:space="preserve"> nelle</w:t>
      </w:r>
      <w:proofErr w:type="gramEnd"/>
      <w:r w:rsidRPr="00CC7F00">
        <w:rPr>
          <w:rStyle w:val="normaltextrun"/>
          <w:rFonts w:asciiTheme="minorHAnsi" w:hAnsiTheme="minorHAnsi" w:cstheme="minorHAnsi"/>
        </w:rPr>
        <w:t xml:space="preserve"> </w:t>
      </w:r>
      <w:r w:rsidRPr="005C664B">
        <w:rPr>
          <w:rStyle w:val="normaltextrun"/>
          <w:rFonts w:asciiTheme="minorHAnsi" w:hAnsiTheme="minorHAnsi" w:cstheme="minorHAnsi"/>
          <w:b/>
          <w:bCs/>
        </w:rPr>
        <w:t>49</w:t>
      </w:r>
      <w:r w:rsidRPr="00CC7F00">
        <w:rPr>
          <w:rStyle w:val="normaltextrun"/>
          <w:rFonts w:asciiTheme="minorHAnsi" w:hAnsiTheme="minorHAnsi" w:cstheme="minorHAnsi"/>
        </w:rPr>
        <w:t xml:space="preserve"> </w:t>
      </w:r>
      <w:r w:rsidRPr="00CC7F00">
        <w:rPr>
          <w:rStyle w:val="normaltextrun"/>
          <w:rFonts w:asciiTheme="minorHAnsi" w:hAnsiTheme="minorHAnsi" w:cstheme="minorHAnsi"/>
          <w:b/>
          <w:bCs/>
        </w:rPr>
        <w:t>Case rifugio</w:t>
      </w:r>
      <w:r w:rsidRPr="00CC7F00">
        <w:rPr>
          <w:rStyle w:val="normaltextrun"/>
          <w:rFonts w:asciiTheme="minorHAnsi" w:hAnsiTheme="minorHAnsi" w:cstheme="minorHAnsi"/>
        </w:rPr>
        <w:t xml:space="preserve"> attive in regione, alle quali si aggiungono 75 donne già presenti ad inizio anno, per un totale di </w:t>
      </w:r>
      <w:r w:rsidRPr="00CC7F00">
        <w:rPr>
          <w:rStyle w:val="normaltextrun"/>
          <w:rFonts w:asciiTheme="minorHAnsi" w:hAnsiTheme="minorHAnsi" w:cstheme="minorHAnsi"/>
          <w:b/>
          <w:bCs/>
        </w:rPr>
        <w:t>320 donne ospiti</w:t>
      </w:r>
      <w:r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Pr="00AF7FDD">
        <w:rPr>
          <w:rStyle w:val="normaltextrun"/>
          <w:rFonts w:asciiTheme="minorHAnsi" w:hAnsiTheme="minorHAnsi" w:cstheme="minorHAnsi"/>
        </w:rPr>
        <w:t>(301 nel 2020)</w:t>
      </w:r>
      <w:r w:rsidRPr="00CC7F00">
        <w:rPr>
          <w:rStyle w:val="normaltextrun"/>
          <w:rFonts w:asciiTheme="minorHAnsi" w:hAnsiTheme="minorHAnsi" w:cstheme="minorHAnsi"/>
        </w:rPr>
        <w:t xml:space="preserve">, di cui circa il 77% di cittadinanza straniera. </w:t>
      </w:r>
      <w:r w:rsidRPr="00CC7F0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Il 63,4% del totale donne è stato ospitato insieme ai figli, per un totale di </w:t>
      </w:r>
      <w:r w:rsidRPr="00E423FD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>325 minori ospitati nel 2021</w:t>
      </w:r>
      <w:r w:rsidRPr="00CC7F0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, di cui 80 già presenti ad inizio anno e 245 accolti durante l’anno.</w:t>
      </w:r>
      <w:r w:rsidRPr="00CC7F00">
        <w:rPr>
          <w:rStyle w:val="eop"/>
          <w:rFonts w:asciiTheme="minorHAnsi" w:hAnsiTheme="minorHAnsi" w:cstheme="minorHAnsi"/>
          <w:color w:val="000000"/>
          <w:shd w:val="clear" w:color="auto" w:fill="FFFFFF"/>
        </w:rPr>
        <w:t xml:space="preserve">  </w:t>
      </w:r>
    </w:p>
    <w:p w14:paraId="0B2070BA" w14:textId="77777777" w:rsidR="00DC3376" w:rsidRPr="00CC7F00" w:rsidRDefault="00DC3376" w:rsidP="00DC33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769156D3" w14:textId="77777777" w:rsidR="00DC3376" w:rsidRPr="00CC7F00" w:rsidRDefault="00DC3376" w:rsidP="00DC337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proofErr w:type="gramStart"/>
      <w:r>
        <w:rPr>
          <w:rStyle w:val="normaltextrun"/>
          <w:rFonts w:asciiTheme="minorHAnsi" w:hAnsiTheme="minorHAnsi" w:cstheme="minorHAnsi"/>
        </w:rPr>
        <w:t>Le  donne</w:t>
      </w:r>
      <w:proofErr w:type="gramEnd"/>
      <w:r>
        <w:rPr>
          <w:rStyle w:val="normaltextrun"/>
          <w:rFonts w:asciiTheme="minorHAnsi" w:hAnsiTheme="minorHAnsi" w:cstheme="minorHAnsi"/>
        </w:rPr>
        <w:t xml:space="preserve"> accolte in un </w:t>
      </w:r>
      <w:r w:rsidRPr="00AF7FDD">
        <w:rPr>
          <w:rStyle w:val="normaltextrun"/>
          <w:rFonts w:asciiTheme="minorHAnsi" w:hAnsiTheme="minorHAnsi" w:cstheme="minorHAnsi"/>
          <w:b/>
          <w:bCs/>
        </w:rPr>
        <w:t>Centro antiviolenza</w:t>
      </w:r>
      <w:r>
        <w:rPr>
          <w:rStyle w:val="normaltextrun"/>
          <w:rFonts w:asciiTheme="minorHAnsi" w:hAnsiTheme="minorHAnsi" w:cstheme="minorHAnsi"/>
        </w:rPr>
        <w:t xml:space="preserve"> sono state </w:t>
      </w:r>
      <w:r w:rsidRPr="00AF7FDD">
        <w:rPr>
          <w:rStyle w:val="normaltextrun"/>
          <w:rFonts w:asciiTheme="minorHAnsi" w:hAnsiTheme="minorHAnsi" w:cstheme="minorHAnsi"/>
          <w:b/>
          <w:bCs/>
        </w:rPr>
        <w:t xml:space="preserve">2.646 </w:t>
      </w:r>
      <w:r>
        <w:rPr>
          <w:rStyle w:val="normaltextrun"/>
          <w:rFonts w:asciiTheme="minorHAnsi" w:hAnsiTheme="minorHAnsi" w:cstheme="minorHAnsi"/>
        </w:rPr>
        <w:t>contri le 2.335 dell’anno precedente.</w:t>
      </w:r>
    </w:p>
    <w:p w14:paraId="40BCD2E4" w14:textId="77777777" w:rsidR="00DC3376" w:rsidRPr="00CC7F00" w:rsidRDefault="00DC3376" w:rsidP="00DC3376">
      <w:pPr>
        <w:jc w:val="both"/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</w:p>
    <w:p w14:paraId="26F34095" w14:textId="77777777" w:rsidR="00DC3376" w:rsidRPr="00CC7F00" w:rsidRDefault="00DC3376" w:rsidP="00DC3376">
      <w:pPr>
        <w:jc w:val="both"/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</w:pPr>
      <w:r w:rsidRPr="00CC7F00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La violenza </w:t>
      </w:r>
      <w:r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avviene</w:t>
      </w:r>
      <w:r w:rsidRPr="00CC7F00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soprattutto </w:t>
      </w:r>
      <w:r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nell’ambito di </w:t>
      </w:r>
      <w:r w:rsidRPr="00CC7F00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relazioni familiari ed affettive</w:t>
      </w:r>
      <w:r w:rsidRPr="00CC7F00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e solo in pochi casi l’autore principale delle violenze è estraneo alla vittima (meno del 2% per le donne in percorso nel 2021). Per il 62,1% delle nuove donne accolte nei Centri antiviolenza nel 2021, l’autore principale delle violenze è il partner e per il 15,6% l’ex-partner; nel 9,6% dei casi è un familiare della donna, nel 6,3% dei casi un amico o conoscente. </w:t>
      </w:r>
      <w:r w:rsidRPr="00CC7F00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 </w:t>
      </w:r>
    </w:p>
    <w:p w14:paraId="5D01601B" w14:textId="77777777" w:rsidR="00DC3376" w:rsidRDefault="00DC3376" w:rsidP="00DC3376">
      <w:pPr>
        <w:jc w:val="both"/>
        <w:rPr>
          <w:rStyle w:val="normaltextrun"/>
          <w:rFonts w:cstheme="minorHAnsi"/>
          <w:color w:val="000000"/>
          <w:sz w:val="24"/>
          <w:szCs w:val="24"/>
          <w:bdr w:val="none" w:sz="0" w:space="0" w:color="auto" w:frame="1"/>
        </w:rPr>
      </w:pPr>
      <w:r w:rsidRPr="00CC7F00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In Emilia-Romagna operano </w:t>
      </w:r>
      <w:r w:rsidRPr="00601FA7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>11 Centri per uomini maltrattanti</w:t>
      </w:r>
      <w:r w:rsidRPr="00CC7F00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: nel 2021 sono stati registrati </w:t>
      </w:r>
      <w:r w:rsidRPr="00601FA7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640 contatti </w:t>
      </w:r>
      <w:r w:rsidRPr="00CC7F00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da parte di uomini autori di violenza che per la prima volta si rivolgevano a tali strutture. </w:t>
      </w:r>
      <w:r w:rsidRPr="00CC7F00">
        <w:rPr>
          <w:rStyle w:val="normaltextrun"/>
          <w:rFonts w:cstheme="minorHAnsi"/>
          <w:color w:val="000000"/>
          <w:sz w:val="24"/>
          <w:szCs w:val="24"/>
          <w:bdr w:val="none" w:sz="0" w:space="0" w:color="auto" w:frame="1"/>
        </w:rPr>
        <w:t xml:space="preserve">In complesso </w:t>
      </w:r>
      <w:r w:rsidRPr="00CC7F00">
        <w:rPr>
          <w:rStyle w:val="normaltextrun"/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537 uomini sono stati in trattamento in un Centro per autori di violenza</w:t>
      </w:r>
      <w:r w:rsidRPr="00CC7F00">
        <w:rPr>
          <w:rStyle w:val="normaltextrun"/>
          <w:rFonts w:cstheme="minorHAnsi"/>
          <w:color w:val="000000"/>
          <w:sz w:val="24"/>
          <w:szCs w:val="24"/>
          <w:bdr w:val="none" w:sz="0" w:space="0" w:color="auto" w:frame="1"/>
        </w:rPr>
        <w:t xml:space="preserve">, di cui 362 sono nuovi uomini (67,4%) cioè uomini che hanno iniziato il percorso proprio nel 2021. </w:t>
      </w:r>
      <w:r>
        <w:rPr>
          <w:rStyle w:val="normaltextrun"/>
          <w:rFonts w:cstheme="minorHAnsi"/>
          <w:color w:val="000000"/>
          <w:sz w:val="24"/>
          <w:szCs w:val="24"/>
          <w:bdr w:val="none" w:sz="0" w:space="0" w:color="auto" w:frame="1"/>
        </w:rPr>
        <w:t xml:space="preserve">Erano stati </w:t>
      </w:r>
      <w:r w:rsidRPr="00B35872">
        <w:rPr>
          <w:rStyle w:val="normaltextrun"/>
          <w:rFonts w:cstheme="minorHAnsi"/>
          <w:b/>
          <w:bCs/>
          <w:color w:val="000000"/>
          <w:sz w:val="24"/>
          <w:szCs w:val="24"/>
          <w:bdr w:val="none" w:sz="0" w:space="0" w:color="auto" w:frame="1"/>
        </w:rPr>
        <w:t>409 nel 2020</w:t>
      </w:r>
      <w:r>
        <w:rPr>
          <w:rStyle w:val="normaltextrun"/>
          <w:rFonts w:cstheme="minorHAnsi"/>
          <w:color w:val="000000"/>
          <w:sz w:val="24"/>
          <w:szCs w:val="24"/>
          <w:bdr w:val="none" w:sz="0" w:space="0" w:color="auto" w:frame="1"/>
        </w:rPr>
        <w:t>.</w:t>
      </w:r>
    </w:p>
    <w:p w14:paraId="18D0CCB2" w14:textId="77777777" w:rsidR="00DC3376" w:rsidRDefault="00DC3376" w:rsidP="00DC3376">
      <w:pPr>
        <w:jc w:val="both"/>
        <w:rPr>
          <w:rStyle w:val="normaltextrun"/>
          <w:rFonts w:cstheme="minorHAnsi"/>
          <w:color w:val="FF0000"/>
          <w:sz w:val="24"/>
          <w:szCs w:val="24"/>
          <w:shd w:val="clear" w:color="auto" w:fill="FFFFFF"/>
        </w:rPr>
      </w:pPr>
      <w:hyperlink r:id="rId4" w:history="1">
        <w:r w:rsidRPr="00B53B43">
          <w:rPr>
            <w:rStyle w:val="Collegamentoipertestuale"/>
            <w:rFonts w:cstheme="minorHAnsi"/>
            <w:sz w:val="24"/>
            <w:szCs w:val="24"/>
            <w:shd w:val="clear" w:color="auto" w:fill="FFFFFF"/>
          </w:rPr>
          <w:t>https://regioneer.it/rapporto-v</w:t>
        </w:r>
        <w:r w:rsidRPr="00B53B43">
          <w:rPr>
            <w:rStyle w:val="Collegamentoipertestuale"/>
            <w:rFonts w:cstheme="minorHAnsi"/>
            <w:sz w:val="24"/>
            <w:szCs w:val="24"/>
            <w:shd w:val="clear" w:color="auto" w:fill="FFFFFF"/>
          </w:rPr>
          <w:t>i</w:t>
        </w:r>
        <w:r w:rsidRPr="00B53B43">
          <w:rPr>
            <w:rStyle w:val="Collegamentoipertestuale"/>
            <w:rFonts w:cstheme="minorHAnsi"/>
            <w:sz w:val="24"/>
            <w:szCs w:val="24"/>
            <w:shd w:val="clear" w:color="auto" w:fill="FFFFFF"/>
          </w:rPr>
          <w:t>olenza-genere-2022</w:t>
        </w:r>
      </w:hyperlink>
    </w:p>
    <w:p w14:paraId="1D4976D3" w14:textId="77777777" w:rsidR="00DC3376" w:rsidRPr="00A403E6" w:rsidRDefault="00DC3376" w:rsidP="00DC3376">
      <w:pPr>
        <w:jc w:val="both"/>
        <w:rPr>
          <w:rStyle w:val="normaltextrun"/>
          <w:rFonts w:cstheme="minorHAnsi"/>
          <w:color w:val="FF0000"/>
          <w:sz w:val="24"/>
          <w:szCs w:val="24"/>
          <w:shd w:val="clear" w:color="auto" w:fill="FFFFFF"/>
        </w:rPr>
      </w:pPr>
    </w:p>
    <w:p w14:paraId="6D92E1D8" w14:textId="77777777" w:rsidR="008106B2" w:rsidRDefault="008106B2"/>
    <w:sectPr w:rsidR="008106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76"/>
    <w:rsid w:val="008106B2"/>
    <w:rsid w:val="00DC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C57F"/>
  <w15:chartTrackingRefBased/>
  <w15:docId w15:val="{6491A9C1-B727-4EBA-8D64-9C3CD6E2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33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DC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DC3376"/>
  </w:style>
  <w:style w:type="character" w:customStyle="1" w:styleId="eop">
    <w:name w:val="eop"/>
    <w:basedOn w:val="Carpredefinitoparagrafo"/>
    <w:rsid w:val="00DC3376"/>
  </w:style>
  <w:style w:type="character" w:styleId="Collegamentoipertestuale">
    <w:name w:val="Hyperlink"/>
    <w:basedOn w:val="Carpredefinitoparagrafo"/>
    <w:uiPriority w:val="99"/>
    <w:unhideWhenUsed/>
    <w:rsid w:val="00DC3376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3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ioneer.it/rapporto-violenza-genere-202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1</cp:revision>
  <dcterms:created xsi:type="dcterms:W3CDTF">2022-11-21T13:44:00Z</dcterms:created>
  <dcterms:modified xsi:type="dcterms:W3CDTF">2022-11-21T13:46:00Z</dcterms:modified>
</cp:coreProperties>
</file>