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C021" w14:textId="77777777" w:rsidR="0017583A" w:rsidRPr="0017583A" w:rsidRDefault="0017583A" w:rsidP="0017583A">
      <w:pPr>
        <w:suppressAutoHyphens/>
        <w:spacing w:before="80" w:after="8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Gli interventi e i territori coinvolti</w:t>
      </w:r>
    </w:p>
    <w:p w14:paraId="1CE57DBE" w14:textId="77777777" w:rsidR="0017583A" w:rsidRPr="0017583A" w:rsidRDefault="0017583A" w:rsidP="0017583A">
      <w:pPr>
        <w:suppressAutoHyphens/>
        <w:spacing w:before="80" w:after="8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7583A">
        <w:rPr>
          <w:rFonts w:eastAsia="Times New Roman" w:cstheme="minorHAnsi"/>
          <w:sz w:val="24"/>
          <w:szCs w:val="24"/>
          <w:lang w:eastAsia="ar-SA"/>
        </w:rPr>
        <w:t xml:space="preserve">I territori attraversati dall’infrastruttura sono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Ravenna, Cesena, Sogliano sul Rubicone, Roncofreddo, Mercato Saraceno, Sant'Agata Feltria (RN) Sarsina, Bagno di Romagna e Verghereto</w:t>
      </w:r>
      <w:r w:rsidRPr="0017583A">
        <w:rPr>
          <w:rFonts w:eastAsia="Times New Roman" w:cstheme="minorHAnsi"/>
          <w:sz w:val="24"/>
          <w:szCs w:val="24"/>
          <w:lang w:eastAsia="ar-SA"/>
        </w:rPr>
        <w:t>.</w:t>
      </w:r>
    </w:p>
    <w:p w14:paraId="2B15AE01" w14:textId="77777777" w:rsidR="0017583A" w:rsidRPr="0017583A" w:rsidRDefault="0017583A" w:rsidP="0017583A">
      <w:pPr>
        <w:suppressAutoHyphens/>
        <w:spacing w:before="80" w:after="8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7583A">
        <w:rPr>
          <w:rFonts w:eastAsia="Times New Roman" w:cstheme="minorHAnsi"/>
          <w:sz w:val="24"/>
          <w:szCs w:val="24"/>
          <w:lang w:eastAsia="ar-SA"/>
        </w:rPr>
        <w:t xml:space="preserve">Per quanto riguarda i lavori, circa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167 milioni di euro 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sono per la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manutenzione di ponti, viadotti e gallerie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; circa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108 milioni di euro 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sono destinati al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risanamento profondo e di rinforzo del piano viabile,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 circa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34 milioni di euro vanno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 alla sostituzione delle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barriere di sicurezza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140 milioni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 per il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potenziamento e la riqualificazione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 di nove tratte stradali e 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45 milioni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 riguardano la manutenzione programmata della galleria ‘</w:t>
      </w:r>
      <w:r w:rsidRPr="0017583A">
        <w:rPr>
          <w:rFonts w:eastAsia="Times New Roman" w:cstheme="minorHAnsi"/>
          <w:b/>
          <w:bCs/>
          <w:sz w:val="24"/>
          <w:szCs w:val="24"/>
          <w:lang w:eastAsia="ar-SA"/>
        </w:rPr>
        <w:t>Lago di Quarto’</w:t>
      </w:r>
      <w:r w:rsidRPr="0017583A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14:paraId="79C116E1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14:paraId="7F97B09E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17583A">
        <w:rPr>
          <w:rFonts w:cstheme="minorHAnsi"/>
          <w:b/>
          <w:bCs/>
          <w:sz w:val="24"/>
          <w:szCs w:val="24"/>
          <w:lang w:eastAsia="it-IT"/>
        </w:rPr>
        <w:t xml:space="preserve">I lavori alla galleria Lago di Quarto </w:t>
      </w:r>
    </w:p>
    <w:p w14:paraId="795F9967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sz w:val="24"/>
          <w:szCs w:val="24"/>
          <w:lang w:eastAsia="it-IT"/>
        </w:rPr>
      </w:pPr>
      <w:r w:rsidRPr="0017583A">
        <w:rPr>
          <w:rFonts w:cstheme="minorHAnsi"/>
          <w:sz w:val="24"/>
          <w:szCs w:val="24"/>
          <w:lang w:eastAsia="it-IT"/>
        </w:rPr>
        <w:t>La galleria, di lunghezza complessiva pari a circa 2,5 Km, presenta un tracciato in curva con larghezza delle corsie di 3,5 m e pendenza longitudinale di circa 1,75%.</w:t>
      </w:r>
    </w:p>
    <w:p w14:paraId="638CF5EF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sz w:val="24"/>
          <w:szCs w:val="24"/>
          <w:lang w:eastAsia="it-IT"/>
        </w:rPr>
      </w:pPr>
      <w:r w:rsidRPr="0017583A">
        <w:rPr>
          <w:rFonts w:cstheme="minorHAnsi"/>
          <w:b/>
          <w:bCs/>
          <w:sz w:val="24"/>
          <w:szCs w:val="24"/>
          <w:lang w:eastAsia="it-IT"/>
        </w:rPr>
        <w:t>Il piano di attuazione degli interventi prevede una durata totale dei lavori pari a 18 mesi organizzata in 2 fasi di cantierizzazione</w:t>
      </w:r>
      <w:r w:rsidRPr="0017583A">
        <w:rPr>
          <w:rFonts w:cstheme="minorHAnsi"/>
          <w:sz w:val="24"/>
          <w:szCs w:val="24"/>
          <w:lang w:eastAsia="it-IT"/>
        </w:rPr>
        <w:t>.</w:t>
      </w:r>
    </w:p>
    <w:p w14:paraId="31C3B2DC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sz w:val="24"/>
          <w:szCs w:val="24"/>
          <w:lang w:eastAsia="it-IT"/>
        </w:rPr>
      </w:pPr>
      <w:r w:rsidRPr="0017583A">
        <w:rPr>
          <w:rFonts w:cstheme="minorHAnsi"/>
          <w:sz w:val="24"/>
          <w:szCs w:val="24"/>
          <w:lang w:eastAsia="it-IT"/>
        </w:rPr>
        <w:t xml:space="preserve">Durante la </w:t>
      </w:r>
      <w:r w:rsidRPr="0017583A">
        <w:rPr>
          <w:rFonts w:cstheme="minorHAnsi"/>
          <w:b/>
          <w:bCs/>
          <w:sz w:val="24"/>
          <w:szCs w:val="24"/>
          <w:lang w:eastAsia="it-IT"/>
        </w:rPr>
        <w:t>prima fase</w:t>
      </w:r>
      <w:r w:rsidRPr="0017583A">
        <w:rPr>
          <w:rFonts w:cstheme="minorHAnsi"/>
          <w:sz w:val="24"/>
          <w:szCs w:val="24"/>
          <w:lang w:eastAsia="it-IT"/>
        </w:rPr>
        <w:t xml:space="preserve"> - avviata a partire dal prossimo </w:t>
      </w:r>
      <w:r w:rsidRPr="0017583A">
        <w:rPr>
          <w:rFonts w:cstheme="minorHAnsi"/>
          <w:b/>
          <w:bCs/>
          <w:sz w:val="24"/>
          <w:szCs w:val="24"/>
          <w:lang w:eastAsia="it-IT"/>
        </w:rPr>
        <w:t>mese di dicembre</w:t>
      </w:r>
      <w:r w:rsidRPr="0017583A">
        <w:rPr>
          <w:rFonts w:cstheme="minorHAnsi"/>
          <w:sz w:val="24"/>
          <w:szCs w:val="24"/>
          <w:lang w:eastAsia="it-IT"/>
        </w:rPr>
        <w:t xml:space="preserve"> e per una durata di circa 10 mesi - sarà istituita la chiusura della carreggiata in direzione Ravenna della SS 3 bis tra gli svincoli di Quarto (km 187) e Sarsina Nord (km 195,500), con deviazione del traffico sulla strada statale 71 “Umbro Casentinese Romagnola”. Durante questa fase è prevista prevede anche una cantierizzazione, da attivare in caso di incidenti ed emergenze lungo la SS 71, che prevede il doppio senso di circolazione nel fornice in carreggiata Sud.</w:t>
      </w:r>
    </w:p>
    <w:p w14:paraId="3BB15E04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sz w:val="24"/>
          <w:szCs w:val="24"/>
          <w:lang w:eastAsia="it-IT"/>
        </w:rPr>
      </w:pPr>
      <w:r w:rsidRPr="0017583A">
        <w:rPr>
          <w:rFonts w:cstheme="minorHAnsi"/>
          <w:sz w:val="24"/>
          <w:szCs w:val="24"/>
          <w:lang w:eastAsia="it-IT"/>
        </w:rPr>
        <w:t>In previsione di questa fase di cantiere, lungo la SS 71 – rientrata in gestione ad Anas ad aprile 2021 - sono stati eseguiti una serie di interventi di riqualificazione al fine di migliorare le condizioni di percorribilità dei veicoli in transito e di limitare i disagi sulla viabilità di accesso all’abitato di Sarsina.</w:t>
      </w:r>
    </w:p>
    <w:p w14:paraId="1E708CDB" w14:textId="77777777" w:rsidR="0017583A" w:rsidRPr="0017583A" w:rsidRDefault="0017583A" w:rsidP="0017583A">
      <w:pPr>
        <w:spacing w:before="80" w:after="80" w:line="276" w:lineRule="auto"/>
        <w:jc w:val="both"/>
        <w:rPr>
          <w:rFonts w:cstheme="minorHAnsi"/>
          <w:sz w:val="24"/>
          <w:szCs w:val="24"/>
          <w:lang w:eastAsia="it-IT"/>
        </w:rPr>
      </w:pPr>
      <w:r w:rsidRPr="0017583A">
        <w:rPr>
          <w:rFonts w:cstheme="minorHAnsi"/>
          <w:sz w:val="24"/>
          <w:szCs w:val="24"/>
          <w:lang w:eastAsia="it-IT"/>
        </w:rPr>
        <w:t xml:space="preserve">Durante la </w:t>
      </w:r>
      <w:r w:rsidRPr="0017583A">
        <w:rPr>
          <w:rFonts w:cstheme="minorHAnsi"/>
          <w:b/>
          <w:bCs/>
          <w:sz w:val="24"/>
          <w:szCs w:val="24"/>
          <w:lang w:eastAsia="it-IT"/>
        </w:rPr>
        <w:t>seconda fase</w:t>
      </w:r>
      <w:r w:rsidRPr="0017583A">
        <w:rPr>
          <w:rFonts w:cstheme="minorHAnsi"/>
          <w:sz w:val="24"/>
          <w:szCs w:val="24"/>
          <w:lang w:eastAsia="it-IT"/>
        </w:rPr>
        <w:t xml:space="preserve">, con una durata di circa </w:t>
      </w:r>
      <w:proofErr w:type="gramStart"/>
      <w:r w:rsidRPr="0017583A">
        <w:rPr>
          <w:rFonts w:cstheme="minorHAnsi"/>
          <w:sz w:val="24"/>
          <w:szCs w:val="24"/>
          <w:lang w:eastAsia="it-IT"/>
        </w:rPr>
        <w:t>8</w:t>
      </w:r>
      <w:proofErr w:type="gramEnd"/>
      <w:r w:rsidRPr="0017583A">
        <w:rPr>
          <w:rFonts w:cstheme="minorHAnsi"/>
          <w:sz w:val="24"/>
          <w:szCs w:val="24"/>
          <w:lang w:eastAsia="it-IT"/>
        </w:rPr>
        <w:t xml:space="preserve"> mesi, sarà istituita la chiusura della canna in direzione Roma con istituzione del doppio senso di circolazione in carreggiata opposta.</w:t>
      </w:r>
    </w:p>
    <w:p w14:paraId="5ED87962" w14:textId="77777777" w:rsidR="0017583A" w:rsidRPr="0017583A" w:rsidRDefault="0017583A" w:rsidP="0017583A">
      <w:pPr>
        <w:suppressAutoHyphens/>
        <w:spacing w:before="80" w:after="8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1B59DE9" w14:textId="77777777" w:rsidR="0017583A" w:rsidRPr="0017583A" w:rsidRDefault="0017583A" w:rsidP="0017583A">
      <w:pPr>
        <w:suppressAutoHyphens/>
        <w:spacing w:before="80" w:after="8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359690D" w14:textId="77777777" w:rsidR="00C74FE6" w:rsidRDefault="0017583A"/>
    <w:sectPr w:rsidR="00C74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A"/>
    <w:rsid w:val="0017583A"/>
    <w:rsid w:val="005159A3"/>
    <w:rsid w:val="00B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F80C"/>
  <w15:chartTrackingRefBased/>
  <w15:docId w15:val="{59915E7D-60EC-4497-AB2D-1E434A4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1</cp:revision>
  <dcterms:created xsi:type="dcterms:W3CDTF">2022-11-15T11:34:00Z</dcterms:created>
  <dcterms:modified xsi:type="dcterms:W3CDTF">2022-11-15T11:35:00Z</dcterms:modified>
</cp:coreProperties>
</file>