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4A68" w14:textId="77777777" w:rsidR="00AB13AC" w:rsidRDefault="00B30EDE" w:rsidP="00B30EDE">
      <w:pPr>
        <w:spacing w:after="0" w:line="240" w:lineRule="auto"/>
        <w:ind w:left="397" w:right="39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30EDE">
        <w:rPr>
          <w:rFonts w:asciiTheme="minorHAnsi" w:hAnsiTheme="minorHAnsi" w:cstheme="minorHAnsi"/>
          <w:b/>
          <w:bCs/>
          <w:sz w:val="24"/>
          <w:szCs w:val="24"/>
        </w:rPr>
        <w:t xml:space="preserve">Confronto coperture vaccinali </w:t>
      </w:r>
      <w:r w:rsidR="00AB13AC">
        <w:rPr>
          <w:rFonts w:asciiTheme="minorHAnsi" w:hAnsiTheme="minorHAnsi" w:cstheme="minorHAnsi"/>
          <w:b/>
          <w:bCs/>
          <w:sz w:val="24"/>
          <w:szCs w:val="24"/>
        </w:rPr>
        <w:t xml:space="preserve">(espresse in %) tra </w:t>
      </w:r>
      <w:r w:rsidRPr="00B30EDE">
        <w:rPr>
          <w:rFonts w:asciiTheme="minorHAnsi" w:hAnsiTheme="minorHAnsi" w:cstheme="minorHAnsi"/>
          <w:b/>
          <w:bCs/>
          <w:sz w:val="24"/>
          <w:szCs w:val="24"/>
        </w:rPr>
        <w:t xml:space="preserve">Emilia-Romagna </w:t>
      </w:r>
      <w:r w:rsidR="00AB13AC">
        <w:rPr>
          <w:rFonts w:asciiTheme="minorHAnsi" w:hAnsiTheme="minorHAnsi" w:cstheme="minorHAnsi"/>
          <w:b/>
          <w:bCs/>
          <w:sz w:val="24"/>
          <w:szCs w:val="24"/>
        </w:rPr>
        <w:t xml:space="preserve">e </w:t>
      </w:r>
    </w:p>
    <w:p w14:paraId="274492FE" w14:textId="21C6E777" w:rsidR="003230E0" w:rsidRDefault="00AB13AC" w:rsidP="00B30EDE">
      <w:pPr>
        <w:spacing w:after="0" w:line="240" w:lineRule="auto"/>
        <w:ind w:left="397" w:right="39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media nazionale </w:t>
      </w:r>
      <w:r w:rsidR="00B30EDE" w:rsidRPr="00B30EDE">
        <w:rPr>
          <w:rFonts w:asciiTheme="minorHAnsi" w:hAnsiTheme="minorHAnsi" w:cstheme="minorHAnsi"/>
          <w:b/>
          <w:bCs/>
          <w:sz w:val="24"/>
          <w:szCs w:val="24"/>
        </w:rPr>
        <w:t xml:space="preserve">per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tre fasce </w:t>
      </w:r>
      <w:r w:rsidR="00B30EDE" w:rsidRPr="00B30EDE">
        <w:rPr>
          <w:rFonts w:asciiTheme="minorHAnsi" w:hAnsiTheme="minorHAnsi" w:cstheme="minorHAnsi"/>
          <w:b/>
          <w:bCs/>
          <w:sz w:val="24"/>
          <w:szCs w:val="24"/>
        </w:rPr>
        <w:t xml:space="preserve">di età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(2,7 e 16 anni) nell’anno 2021 </w:t>
      </w:r>
      <w:r w:rsidR="00B30EDE" w:rsidRPr="00B30ED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6AA8204" w14:textId="77777777" w:rsidR="00AB13AC" w:rsidRPr="00B30EDE" w:rsidRDefault="00AB13AC" w:rsidP="00B30EDE">
      <w:pPr>
        <w:spacing w:after="0" w:line="240" w:lineRule="auto"/>
        <w:ind w:left="397" w:right="39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0BFFB79" w14:textId="7F6D82EC" w:rsidR="006136EA" w:rsidRDefault="003230E0" w:rsidP="00EA695A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F0E7640" wp14:editId="28DB4833">
            <wp:extent cx="4493175" cy="2486025"/>
            <wp:effectExtent l="0" t="0" r="3175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456" cy="2507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D7E6A" w14:textId="58A2A6BD" w:rsidR="006136EA" w:rsidRDefault="006136EA" w:rsidP="00EA695A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25A4D25" wp14:editId="5D4E4747">
            <wp:extent cx="3833495" cy="2247900"/>
            <wp:effectExtent l="0" t="0" r="14605" b="0"/>
            <wp:docPr id="9" name="Grafico 9">
              <a:extLst xmlns:a="http://schemas.openxmlformats.org/drawingml/2006/main">
                <a:ext uri="{FF2B5EF4-FFF2-40B4-BE49-F238E27FC236}">
                  <a16:creationId xmlns:a16="http://schemas.microsoft.com/office/drawing/2014/main" id="{DC1F1A87-95B1-4692-AC18-233F51022A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2E3842A" w14:textId="1D52217E" w:rsidR="006136EA" w:rsidRDefault="006136EA" w:rsidP="00EA695A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</w:p>
    <w:p w14:paraId="72DB9757" w14:textId="6D49EA20" w:rsidR="006136EA" w:rsidRPr="00434C74" w:rsidRDefault="006136EA" w:rsidP="00EA695A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47A7C1D7" wp14:editId="015B3C1E">
            <wp:extent cx="3795395" cy="2105025"/>
            <wp:effectExtent l="0" t="0" r="14605" b="9525"/>
            <wp:docPr id="13" name="Grafico 13">
              <a:extLst xmlns:a="http://schemas.openxmlformats.org/drawingml/2006/main">
                <a:ext uri="{FF2B5EF4-FFF2-40B4-BE49-F238E27FC236}">
                  <a16:creationId xmlns:a16="http://schemas.microsoft.com/office/drawing/2014/main" id="{018D5FB7-C967-40D7-AABA-F8DC6B878C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B28EA38" w14:textId="77777777" w:rsidR="00573504" w:rsidRPr="00434C74" w:rsidRDefault="00573504" w:rsidP="00EA695A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</w:p>
    <w:p w14:paraId="2AD318AC" w14:textId="77777777" w:rsidR="00573504" w:rsidRPr="00434C74" w:rsidRDefault="00573504" w:rsidP="00EA695A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</w:p>
    <w:p w14:paraId="1B3FED8E" w14:textId="56C2360F" w:rsidR="00455DEE" w:rsidRPr="00434C74" w:rsidRDefault="00C67538" w:rsidP="00EA695A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  <w:r w:rsidRPr="00434C74">
        <w:rPr>
          <w:rFonts w:asciiTheme="minorHAnsi" w:hAnsiTheme="minorHAnsi" w:cstheme="minorHAnsi"/>
          <w:sz w:val="24"/>
          <w:szCs w:val="24"/>
        </w:rPr>
        <w:t xml:space="preserve"> </w:t>
      </w:r>
      <w:r w:rsidR="00ED5D57" w:rsidRPr="00434C74">
        <w:rPr>
          <w:rFonts w:asciiTheme="minorHAnsi" w:hAnsiTheme="minorHAnsi" w:cstheme="minorHAnsi"/>
          <w:sz w:val="24"/>
          <w:szCs w:val="24"/>
        </w:rPr>
        <w:t xml:space="preserve">  </w:t>
      </w:r>
      <w:r w:rsidR="007E54D3" w:rsidRPr="00434C74">
        <w:rPr>
          <w:rFonts w:asciiTheme="minorHAnsi" w:hAnsiTheme="minorHAnsi" w:cstheme="minorHAnsi"/>
          <w:sz w:val="24"/>
          <w:szCs w:val="24"/>
        </w:rPr>
        <w:t xml:space="preserve">   </w:t>
      </w:r>
      <w:r w:rsidR="007037BB" w:rsidRPr="00434C74">
        <w:rPr>
          <w:rFonts w:asciiTheme="minorHAnsi" w:hAnsiTheme="minorHAnsi" w:cstheme="minorHAnsi"/>
          <w:sz w:val="24"/>
          <w:szCs w:val="24"/>
        </w:rPr>
        <w:t xml:space="preserve"> </w:t>
      </w:r>
      <w:r w:rsidR="00643170" w:rsidRPr="00434C74">
        <w:rPr>
          <w:rFonts w:asciiTheme="minorHAnsi" w:hAnsiTheme="minorHAnsi" w:cstheme="minorHAnsi"/>
          <w:sz w:val="24"/>
          <w:szCs w:val="24"/>
        </w:rPr>
        <w:t xml:space="preserve">     </w:t>
      </w:r>
      <w:r w:rsidR="00AE70B9" w:rsidRPr="00434C74">
        <w:rPr>
          <w:rFonts w:asciiTheme="minorHAnsi" w:hAnsiTheme="minorHAnsi" w:cstheme="minorHAnsi"/>
          <w:sz w:val="24"/>
          <w:szCs w:val="24"/>
        </w:rPr>
        <w:t xml:space="preserve">  </w:t>
      </w:r>
      <w:r w:rsidR="001A46BD" w:rsidRPr="00434C74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C85407" w:rsidRPr="00434C74">
        <w:rPr>
          <w:rFonts w:asciiTheme="minorHAnsi" w:hAnsiTheme="minorHAnsi" w:cstheme="minorHAnsi"/>
          <w:sz w:val="24"/>
          <w:szCs w:val="24"/>
        </w:rPr>
        <w:t xml:space="preserve">      </w:t>
      </w:r>
      <w:r w:rsidR="00144D0A" w:rsidRPr="00434C74">
        <w:rPr>
          <w:rFonts w:asciiTheme="minorHAnsi" w:hAnsiTheme="minorHAnsi" w:cstheme="minorHAnsi"/>
          <w:sz w:val="24"/>
          <w:szCs w:val="24"/>
        </w:rPr>
        <w:t xml:space="preserve">       </w:t>
      </w:r>
      <w:r w:rsidR="00455DEE" w:rsidRPr="00434C74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0ED92801" w14:textId="1B63967B" w:rsidR="00EA695A" w:rsidRPr="00434C74" w:rsidRDefault="00AA5B85" w:rsidP="00EA695A">
      <w:pPr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  <w:r w:rsidRPr="00434C74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="00427DBE" w:rsidRPr="00434C74">
        <w:rPr>
          <w:rFonts w:asciiTheme="minorHAnsi" w:hAnsiTheme="minorHAnsi" w:cstheme="minorHAnsi"/>
          <w:sz w:val="24"/>
          <w:szCs w:val="24"/>
        </w:rPr>
        <w:t xml:space="preserve">    </w:t>
      </w:r>
    </w:p>
    <w:sectPr w:rsidR="00EA695A" w:rsidRPr="00434C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4441D"/>
    <w:multiLevelType w:val="hybridMultilevel"/>
    <w:tmpl w:val="32985E7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A0B34"/>
    <w:multiLevelType w:val="multilevel"/>
    <w:tmpl w:val="1320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A65B32"/>
    <w:multiLevelType w:val="hybridMultilevel"/>
    <w:tmpl w:val="B1F493A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99072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5826357">
    <w:abstractNumId w:val="1"/>
  </w:num>
  <w:num w:numId="3" w16cid:durableId="804467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D1"/>
    <w:rsid w:val="000118A5"/>
    <w:rsid w:val="0001675F"/>
    <w:rsid w:val="0002422C"/>
    <w:rsid w:val="00025694"/>
    <w:rsid w:val="0003504F"/>
    <w:rsid w:val="000444FE"/>
    <w:rsid w:val="000555A7"/>
    <w:rsid w:val="000825B4"/>
    <w:rsid w:val="000832B2"/>
    <w:rsid w:val="00087DF6"/>
    <w:rsid w:val="00091E8B"/>
    <w:rsid w:val="00091F6E"/>
    <w:rsid w:val="00093B6B"/>
    <w:rsid w:val="000943AA"/>
    <w:rsid w:val="000B5277"/>
    <w:rsid w:val="000B5902"/>
    <w:rsid w:val="000E419D"/>
    <w:rsid w:val="000E4C1A"/>
    <w:rsid w:val="000F6C2A"/>
    <w:rsid w:val="00110BB7"/>
    <w:rsid w:val="00121C99"/>
    <w:rsid w:val="0012561B"/>
    <w:rsid w:val="00133086"/>
    <w:rsid w:val="00142868"/>
    <w:rsid w:val="00144D0A"/>
    <w:rsid w:val="001914F8"/>
    <w:rsid w:val="001929F5"/>
    <w:rsid w:val="001A1482"/>
    <w:rsid w:val="001A46BD"/>
    <w:rsid w:val="001A4A01"/>
    <w:rsid w:val="001A7A2F"/>
    <w:rsid w:val="001C1CEF"/>
    <w:rsid w:val="001C423D"/>
    <w:rsid w:val="001C647D"/>
    <w:rsid w:val="001D2CDC"/>
    <w:rsid w:val="001D4C0A"/>
    <w:rsid w:val="001E064F"/>
    <w:rsid w:val="001F48B9"/>
    <w:rsid w:val="00210BAE"/>
    <w:rsid w:val="00211852"/>
    <w:rsid w:val="00211BD0"/>
    <w:rsid w:val="0021318A"/>
    <w:rsid w:val="0021553D"/>
    <w:rsid w:val="002233B6"/>
    <w:rsid w:val="0024036A"/>
    <w:rsid w:val="0025732F"/>
    <w:rsid w:val="00262AD1"/>
    <w:rsid w:val="00276F8E"/>
    <w:rsid w:val="002A45D1"/>
    <w:rsid w:val="002B6204"/>
    <w:rsid w:val="002B7BC1"/>
    <w:rsid w:val="002C6C79"/>
    <w:rsid w:val="002D3A5B"/>
    <w:rsid w:val="002E2197"/>
    <w:rsid w:val="002F4240"/>
    <w:rsid w:val="00316E40"/>
    <w:rsid w:val="00317F97"/>
    <w:rsid w:val="003230E0"/>
    <w:rsid w:val="003255BF"/>
    <w:rsid w:val="00332D8A"/>
    <w:rsid w:val="00335E5D"/>
    <w:rsid w:val="00350B56"/>
    <w:rsid w:val="00391F64"/>
    <w:rsid w:val="003A2D22"/>
    <w:rsid w:val="003A3543"/>
    <w:rsid w:val="003B23A6"/>
    <w:rsid w:val="003E2B1A"/>
    <w:rsid w:val="004255C8"/>
    <w:rsid w:val="00427DBE"/>
    <w:rsid w:val="00431DF1"/>
    <w:rsid w:val="00434C74"/>
    <w:rsid w:val="00455DEE"/>
    <w:rsid w:val="004752EF"/>
    <w:rsid w:val="004B27E5"/>
    <w:rsid w:val="004D6697"/>
    <w:rsid w:val="004E457B"/>
    <w:rsid w:val="005141C4"/>
    <w:rsid w:val="005178F9"/>
    <w:rsid w:val="005360D5"/>
    <w:rsid w:val="0054699F"/>
    <w:rsid w:val="00553C56"/>
    <w:rsid w:val="00573504"/>
    <w:rsid w:val="00584AED"/>
    <w:rsid w:val="00592989"/>
    <w:rsid w:val="00593CB0"/>
    <w:rsid w:val="00595D9D"/>
    <w:rsid w:val="00597AC5"/>
    <w:rsid w:val="005A550D"/>
    <w:rsid w:val="005D2B28"/>
    <w:rsid w:val="005F322B"/>
    <w:rsid w:val="005F5F50"/>
    <w:rsid w:val="0060017F"/>
    <w:rsid w:val="006136EA"/>
    <w:rsid w:val="00614CC3"/>
    <w:rsid w:val="00625E90"/>
    <w:rsid w:val="00643170"/>
    <w:rsid w:val="00652971"/>
    <w:rsid w:val="00655AA1"/>
    <w:rsid w:val="0065639F"/>
    <w:rsid w:val="0066385F"/>
    <w:rsid w:val="00671103"/>
    <w:rsid w:val="006A4A8A"/>
    <w:rsid w:val="006A6AB0"/>
    <w:rsid w:val="006C4420"/>
    <w:rsid w:val="006D442B"/>
    <w:rsid w:val="006E3BAE"/>
    <w:rsid w:val="007037BB"/>
    <w:rsid w:val="00714C64"/>
    <w:rsid w:val="00723374"/>
    <w:rsid w:val="00730B59"/>
    <w:rsid w:val="007353F0"/>
    <w:rsid w:val="00740BE4"/>
    <w:rsid w:val="00762093"/>
    <w:rsid w:val="007637A5"/>
    <w:rsid w:val="0078308B"/>
    <w:rsid w:val="00792238"/>
    <w:rsid w:val="0079239C"/>
    <w:rsid w:val="00795FA2"/>
    <w:rsid w:val="00797EA5"/>
    <w:rsid w:val="007B4168"/>
    <w:rsid w:val="007B75F2"/>
    <w:rsid w:val="007D14D7"/>
    <w:rsid w:val="007E0CD9"/>
    <w:rsid w:val="007E4AA3"/>
    <w:rsid w:val="007E54D3"/>
    <w:rsid w:val="00800EAB"/>
    <w:rsid w:val="00814114"/>
    <w:rsid w:val="00825CC8"/>
    <w:rsid w:val="00845F74"/>
    <w:rsid w:val="00854AB2"/>
    <w:rsid w:val="00870590"/>
    <w:rsid w:val="008A0230"/>
    <w:rsid w:val="008D6822"/>
    <w:rsid w:val="008F55A5"/>
    <w:rsid w:val="008F6ECE"/>
    <w:rsid w:val="0090288D"/>
    <w:rsid w:val="00917676"/>
    <w:rsid w:val="009446FD"/>
    <w:rsid w:val="00945967"/>
    <w:rsid w:val="0095095F"/>
    <w:rsid w:val="009534F1"/>
    <w:rsid w:val="00997B94"/>
    <w:rsid w:val="009A51AB"/>
    <w:rsid w:val="009B45E9"/>
    <w:rsid w:val="009B7607"/>
    <w:rsid w:val="009D7C77"/>
    <w:rsid w:val="009E17F4"/>
    <w:rsid w:val="009E5CBC"/>
    <w:rsid w:val="009F76DA"/>
    <w:rsid w:val="00A06D88"/>
    <w:rsid w:val="00A27746"/>
    <w:rsid w:val="00A32DF2"/>
    <w:rsid w:val="00A40BDA"/>
    <w:rsid w:val="00A50631"/>
    <w:rsid w:val="00A5169F"/>
    <w:rsid w:val="00A51E55"/>
    <w:rsid w:val="00A728FF"/>
    <w:rsid w:val="00A7694B"/>
    <w:rsid w:val="00A97C45"/>
    <w:rsid w:val="00AA0424"/>
    <w:rsid w:val="00AA5B85"/>
    <w:rsid w:val="00AB13AC"/>
    <w:rsid w:val="00AE70B9"/>
    <w:rsid w:val="00B041B6"/>
    <w:rsid w:val="00B041E7"/>
    <w:rsid w:val="00B046CE"/>
    <w:rsid w:val="00B0623D"/>
    <w:rsid w:val="00B064DE"/>
    <w:rsid w:val="00B0720C"/>
    <w:rsid w:val="00B30EDE"/>
    <w:rsid w:val="00B32117"/>
    <w:rsid w:val="00B50B09"/>
    <w:rsid w:val="00B517AA"/>
    <w:rsid w:val="00B565FF"/>
    <w:rsid w:val="00B721F2"/>
    <w:rsid w:val="00B82CA3"/>
    <w:rsid w:val="00B90983"/>
    <w:rsid w:val="00BA1B97"/>
    <w:rsid w:val="00BA2E6E"/>
    <w:rsid w:val="00BF0C19"/>
    <w:rsid w:val="00C1236C"/>
    <w:rsid w:val="00C236C2"/>
    <w:rsid w:val="00C34B6D"/>
    <w:rsid w:val="00C41537"/>
    <w:rsid w:val="00C41A8F"/>
    <w:rsid w:val="00C42286"/>
    <w:rsid w:val="00C42E48"/>
    <w:rsid w:val="00C50658"/>
    <w:rsid w:val="00C5367D"/>
    <w:rsid w:val="00C62D4D"/>
    <w:rsid w:val="00C67538"/>
    <w:rsid w:val="00C722E4"/>
    <w:rsid w:val="00C85407"/>
    <w:rsid w:val="00C860D5"/>
    <w:rsid w:val="00CA2D2E"/>
    <w:rsid w:val="00CA40F3"/>
    <w:rsid w:val="00CC01B3"/>
    <w:rsid w:val="00CC1D81"/>
    <w:rsid w:val="00CC5CEA"/>
    <w:rsid w:val="00CC6A66"/>
    <w:rsid w:val="00CE1CC9"/>
    <w:rsid w:val="00CF212A"/>
    <w:rsid w:val="00D01E1C"/>
    <w:rsid w:val="00D01FFB"/>
    <w:rsid w:val="00D13253"/>
    <w:rsid w:val="00D15B26"/>
    <w:rsid w:val="00D27833"/>
    <w:rsid w:val="00D27EBD"/>
    <w:rsid w:val="00D30FB2"/>
    <w:rsid w:val="00D31C9D"/>
    <w:rsid w:val="00D439C0"/>
    <w:rsid w:val="00D474B9"/>
    <w:rsid w:val="00D47695"/>
    <w:rsid w:val="00D52061"/>
    <w:rsid w:val="00D55DAB"/>
    <w:rsid w:val="00D56A32"/>
    <w:rsid w:val="00D5780C"/>
    <w:rsid w:val="00D70E05"/>
    <w:rsid w:val="00D775C3"/>
    <w:rsid w:val="00D80051"/>
    <w:rsid w:val="00D90396"/>
    <w:rsid w:val="00D94715"/>
    <w:rsid w:val="00DB3757"/>
    <w:rsid w:val="00DC17F0"/>
    <w:rsid w:val="00DC3399"/>
    <w:rsid w:val="00DC5E4B"/>
    <w:rsid w:val="00DE3ABE"/>
    <w:rsid w:val="00DE7A53"/>
    <w:rsid w:val="00DF4587"/>
    <w:rsid w:val="00E0010A"/>
    <w:rsid w:val="00E43060"/>
    <w:rsid w:val="00E44B49"/>
    <w:rsid w:val="00E560F1"/>
    <w:rsid w:val="00E57306"/>
    <w:rsid w:val="00EA695A"/>
    <w:rsid w:val="00EB4CE3"/>
    <w:rsid w:val="00EC5F0B"/>
    <w:rsid w:val="00ED5D57"/>
    <w:rsid w:val="00ED667F"/>
    <w:rsid w:val="00EE0218"/>
    <w:rsid w:val="00EE53FF"/>
    <w:rsid w:val="00EF0D4A"/>
    <w:rsid w:val="00EF542A"/>
    <w:rsid w:val="00F25314"/>
    <w:rsid w:val="00F27315"/>
    <w:rsid w:val="00F4778E"/>
    <w:rsid w:val="00F52782"/>
    <w:rsid w:val="00F60132"/>
    <w:rsid w:val="00F63F17"/>
    <w:rsid w:val="00F66549"/>
    <w:rsid w:val="00F87787"/>
    <w:rsid w:val="00FA2CC8"/>
    <w:rsid w:val="00FA6F4F"/>
    <w:rsid w:val="00FB3AF1"/>
    <w:rsid w:val="00FC247B"/>
    <w:rsid w:val="00FD2519"/>
    <w:rsid w:val="00FD5F7F"/>
    <w:rsid w:val="00FE14CE"/>
    <w:rsid w:val="00FE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081B"/>
  <w15:chartTrackingRefBased/>
  <w15:docId w15:val="{533278FB-BCF2-4111-88E6-0B749493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8"/>
        <w:szCs w:val="28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367D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929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298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94715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A7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4A01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95D9D"/>
    <w:pPr>
      <w:spacing w:after="0" w:line="240" w:lineRule="auto"/>
    </w:pPr>
    <w:rPr>
      <w:rFonts w:ascii="Calibri" w:eastAsiaTheme="minorEastAsia" w:hAnsi="Calibri" w:cs="Calibri"/>
      <w:sz w:val="22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95D9D"/>
    <w:rPr>
      <w:rFonts w:ascii="Calibri" w:eastAsiaTheme="minorEastAsia" w:hAnsi="Calibri" w:cs="Calibri"/>
      <w:sz w:val="22"/>
      <w:szCs w:val="21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367D"/>
    <w:rPr>
      <w:rFonts w:ascii="Calibri" w:hAnsi="Calibri" w:cs="Calibri"/>
      <w:b/>
      <w:bCs/>
      <w:kern w:val="36"/>
      <w:sz w:val="48"/>
      <w:szCs w:val="48"/>
      <w:lang w:eastAsia="it-IT"/>
    </w:rPr>
  </w:style>
  <w:style w:type="paragraph" w:customStyle="1" w:styleId="comunicato-description">
    <w:name w:val="comunicato-description"/>
    <w:basedOn w:val="Normale"/>
    <w:uiPriority w:val="99"/>
    <w:semiHidden/>
    <w:rsid w:val="00C5367D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C5367D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0825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4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615srv\378_SanPub\Malinf\Gabri\COPERTURE_VACCINALI_dati_report_ministero\Report%202021\dati12_24%20_I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615srv\378_SanPub\Malinf\Gabri\COPERTURE_VACCINALI_dati_report_ministero\Report%202021\dati12_24%20_I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7 anni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>
        <c:manualLayout>
          <c:layoutTarget val="inner"/>
          <c:xMode val="edge"/>
          <c:yMode val="edge"/>
          <c:x val="0.11262801245749694"/>
          <c:y val="0.13467592592592595"/>
          <c:w val="0.85924800041873939"/>
          <c:h val="0.594275298920968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'confrontoITA-RER'!$D$4</c:f>
              <c:strCache>
                <c:ptCount val="1"/>
                <c:pt idx="0">
                  <c:v>ITA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'confrontoITA-RER'!$B$15:$B$19</c:f>
              <c:strCache>
                <c:ptCount val="5"/>
                <c:pt idx="0">
                  <c:v>Polio</c:v>
                </c:pt>
                <c:pt idx="1">
                  <c:v>Difterite</c:v>
                </c:pt>
                <c:pt idx="2">
                  <c:v>Tetano</c:v>
                </c:pt>
                <c:pt idx="3">
                  <c:v>Pertosse</c:v>
                </c:pt>
                <c:pt idx="4">
                  <c:v>MPR</c:v>
                </c:pt>
              </c:strCache>
            </c:strRef>
          </c:cat>
          <c:val>
            <c:numRef>
              <c:f>'confrontoITA-RER'!$D$15:$D$19</c:f>
              <c:numCache>
                <c:formatCode>0.0</c:formatCode>
                <c:ptCount val="5"/>
                <c:pt idx="0">
                  <c:v>85.6</c:v>
                </c:pt>
                <c:pt idx="1">
                  <c:v>85.6</c:v>
                </c:pt>
                <c:pt idx="2">
                  <c:v>85.8</c:v>
                </c:pt>
                <c:pt idx="3">
                  <c:v>85.5</c:v>
                </c:pt>
                <c:pt idx="4">
                  <c:v>85.4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A8-404B-8072-00CFFE2E0C4C}"/>
            </c:ext>
          </c:extLst>
        </c:ser>
        <c:ser>
          <c:idx val="2"/>
          <c:order val="1"/>
          <c:tx>
            <c:strRef>
              <c:f>'confrontoITA-RER'!$E$4</c:f>
              <c:strCache>
                <c:ptCount val="1"/>
                <c:pt idx="0">
                  <c:v>RER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'confrontoITA-RER'!$B$15:$B$19</c:f>
              <c:strCache>
                <c:ptCount val="5"/>
                <c:pt idx="0">
                  <c:v>Polio</c:v>
                </c:pt>
                <c:pt idx="1">
                  <c:v>Difterite</c:v>
                </c:pt>
                <c:pt idx="2">
                  <c:v>Tetano</c:v>
                </c:pt>
                <c:pt idx="3">
                  <c:v>Pertosse</c:v>
                </c:pt>
                <c:pt idx="4">
                  <c:v>MPR</c:v>
                </c:pt>
              </c:strCache>
            </c:strRef>
          </c:cat>
          <c:val>
            <c:numRef>
              <c:f>'confrontoITA-RER'!$E$15:$E$19</c:f>
              <c:numCache>
                <c:formatCode>0.0</c:formatCode>
                <c:ptCount val="5"/>
                <c:pt idx="0">
                  <c:v>91.5</c:v>
                </c:pt>
                <c:pt idx="1">
                  <c:v>91.1</c:v>
                </c:pt>
                <c:pt idx="2">
                  <c:v>91.6</c:v>
                </c:pt>
                <c:pt idx="3">
                  <c:v>91.1</c:v>
                </c:pt>
                <c:pt idx="4">
                  <c:v>91.4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A8-404B-8072-00CFFE2E0C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2258000"/>
        <c:axId val="222262592"/>
        <c:extLst/>
      </c:barChart>
      <c:catAx>
        <c:axId val="222258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222262592"/>
        <c:crosses val="autoZero"/>
        <c:auto val="1"/>
        <c:lblAlgn val="ctr"/>
        <c:lblOffset val="100"/>
        <c:noMultiLvlLbl val="0"/>
      </c:catAx>
      <c:valAx>
        <c:axId val="222262592"/>
        <c:scaling>
          <c:orientation val="minMax"/>
          <c:max val="100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222258000"/>
        <c:crosses val="autoZero"/>
        <c:crossBetween val="between"/>
        <c:majorUnit val="5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16 anni</a:t>
            </a:r>
          </a:p>
        </c:rich>
      </c:tx>
      <c:layout>
        <c:manualLayout>
          <c:xMode val="edge"/>
          <c:yMode val="edge"/>
          <c:x val="0.415116213200470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>
        <c:manualLayout>
          <c:layoutTarget val="inner"/>
          <c:xMode val="edge"/>
          <c:yMode val="edge"/>
          <c:x val="0.11262801245749694"/>
          <c:y val="0.13467592592592595"/>
          <c:w val="0.85924800041873939"/>
          <c:h val="0.594275298920968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'confrontoITA-RER'!$D$4</c:f>
              <c:strCache>
                <c:ptCount val="1"/>
                <c:pt idx="0">
                  <c:v>ITA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'confrontoITA-RER'!$B$21:$B$25</c:f>
              <c:strCache>
                <c:ptCount val="5"/>
                <c:pt idx="0">
                  <c:v>Difterite</c:v>
                </c:pt>
                <c:pt idx="1">
                  <c:v>Tetano</c:v>
                </c:pt>
                <c:pt idx="2">
                  <c:v>Pertosse</c:v>
                </c:pt>
                <c:pt idx="3">
                  <c:v>MPR </c:v>
                </c:pt>
                <c:pt idx="4">
                  <c:v>Meningococco C</c:v>
                </c:pt>
              </c:strCache>
            </c:strRef>
          </c:cat>
          <c:val>
            <c:numRef>
              <c:f>'confrontoITA-RER'!$D$21:$D$25</c:f>
              <c:numCache>
                <c:formatCode>0.0</c:formatCode>
                <c:ptCount val="5"/>
                <c:pt idx="0">
                  <c:v>63.4</c:v>
                </c:pt>
                <c:pt idx="1">
                  <c:v>63.5</c:v>
                </c:pt>
                <c:pt idx="2">
                  <c:v>63</c:v>
                </c:pt>
                <c:pt idx="3">
                  <c:v>90.1</c:v>
                </c:pt>
                <c:pt idx="4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E3-469C-AC48-9012BC6353B3}"/>
            </c:ext>
          </c:extLst>
        </c:ser>
        <c:ser>
          <c:idx val="2"/>
          <c:order val="1"/>
          <c:tx>
            <c:strRef>
              <c:f>'confrontoITA-RER'!$E$4</c:f>
              <c:strCache>
                <c:ptCount val="1"/>
                <c:pt idx="0">
                  <c:v>RER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'confrontoITA-RER'!$B$21:$B$25</c:f>
              <c:strCache>
                <c:ptCount val="5"/>
                <c:pt idx="0">
                  <c:v>Difterite</c:v>
                </c:pt>
                <c:pt idx="1">
                  <c:v>Tetano</c:v>
                </c:pt>
                <c:pt idx="2">
                  <c:v>Pertosse</c:v>
                </c:pt>
                <c:pt idx="3">
                  <c:v>MPR </c:v>
                </c:pt>
                <c:pt idx="4">
                  <c:v>Meningococco C</c:v>
                </c:pt>
              </c:strCache>
            </c:strRef>
          </c:cat>
          <c:val>
            <c:numRef>
              <c:f>'confrontoITA-RER'!$E$21:$E$25</c:f>
              <c:numCache>
                <c:formatCode>0.0</c:formatCode>
                <c:ptCount val="5"/>
                <c:pt idx="0">
                  <c:v>89.7</c:v>
                </c:pt>
                <c:pt idx="1">
                  <c:v>90</c:v>
                </c:pt>
                <c:pt idx="2">
                  <c:v>88.8</c:v>
                </c:pt>
                <c:pt idx="3">
                  <c:v>95.3</c:v>
                </c:pt>
                <c:pt idx="4">
                  <c:v>93.2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E3-469C-AC48-9012BC6353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2258000"/>
        <c:axId val="222262592"/>
        <c:extLst/>
      </c:barChart>
      <c:catAx>
        <c:axId val="222258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222262592"/>
        <c:crosses val="autoZero"/>
        <c:auto val="1"/>
        <c:lblAlgn val="ctr"/>
        <c:lblOffset val="100"/>
        <c:noMultiLvlLbl val="0"/>
      </c:catAx>
      <c:valAx>
        <c:axId val="222262592"/>
        <c:scaling>
          <c:orientation val="minMax"/>
          <c:max val="100"/>
          <c:min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222258000"/>
        <c:crosses val="autoZero"/>
        <c:crossBetween val="between"/>
        <c:majorUnit val="5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Martelli Giancarlo</dc:creator>
  <cp:keywords/>
  <dc:description/>
  <cp:lastModifiedBy>Martelli Giancarlo</cp:lastModifiedBy>
  <cp:revision>4</cp:revision>
  <cp:lastPrinted>2022-04-20T10:43:00Z</cp:lastPrinted>
  <dcterms:created xsi:type="dcterms:W3CDTF">2022-11-28T14:26:00Z</dcterms:created>
  <dcterms:modified xsi:type="dcterms:W3CDTF">2022-11-28T14:32:00Z</dcterms:modified>
</cp:coreProperties>
</file>