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5E23" w14:textId="77777777" w:rsidR="008830FF" w:rsidRDefault="008830FF" w:rsidP="00883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>Allegato</w:t>
      </w:r>
    </w:p>
    <w:p w14:paraId="190F0A8E" w14:textId="77777777" w:rsidR="008830FF" w:rsidRDefault="008830FF" w:rsidP="008830FF">
      <w:pPr>
        <w:spacing w:before="80" w:after="80"/>
        <w:jc w:val="both"/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</w:pPr>
    </w:p>
    <w:p w14:paraId="7114B902" w14:textId="77777777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color w:val="1C2024"/>
          <w:sz w:val="24"/>
          <w:szCs w:val="24"/>
          <w:shd w:val="clear" w:color="auto" w:fill="FFFFFF"/>
        </w:rPr>
        <w:t>Investimenti Psr, Pac e pagamenti nel ravennate</w:t>
      </w:r>
    </w:p>
    <w:p w14:paraId="430A8740" w14:textId="77777777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05F3701B" w14:textId="77777777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Gli investimenti del Piano di sviluppo rurale nel ravennate </w:t>
      </w:r>
    </w:p>
    <w:p w14:paraId="672064B8" w14:textId="77777777" w:rsidR="008830FF" w:rsidRDefault="008830FF" w:rsidP="008830F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principali pagamenti sul Psr dagli inizi del 2021 e fino ad oggi ammontano a  </w:t>
      </w:r>
      <w:r>
        <w:rPr>
          <w:rFonts w:cstheme="minorHAnsi"/>
          <w:b/>
          <w:bCs/>
          <w:sz w:val="24"/>
          <w:szCs w:val="24"/>
        </w:rPr>
        <w:t xml:space="preserve">22 milioni 345mila euro </w:t>
      </w:r>
      <w:r>
        <w:rPr>
          <w:rFonts w:cstheme="minorHAnsi"/>
          <w:sz w:val="24"/>
          <w:szCs w:val="24"/>
        </w:rPr>
        <w:t xml:space="preserve">(dati </w:t>
      </w:r>
      <w:proofErr w:type="spellStart"/>
      <w:r>
        <w:rPr>
          <w:rFonts w:cstheme="minorHAnsi"/>
          <w:sz w:val="24"/>
          <w:szCs w:val="24"/>
        </w:rPr>
        <w:t>Agrea</w:t>
      </w:r>
      <w:proofErr w:type="spellEnd"/>
      <w:r>
        <w:rPr>
          <w:rFonts w:cstheme="minorHAnsi"/>
          <w:sz w:val="24"/>
          <w:szCs w:val="24"/>
        </w:rPr>
        <w:t>)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 riguardano in particolare gli investimenti di filiera (2,1 milioni di euro); giovani imprenditori e primo insediamento (2,8 milioni di euro); invasi e reti di distribuzione collettiva (3,1 milioni di euro); investimenti in prevenzione fitosanitaria (1,3 milioni di euro); biologico (2,5 milioni di euro); produzione integrata (3,6 milioni di euro); biodiversità animale di interesse zootecnico e tutela delle razze (464mila euro).</w:t>
      </w:r>
    </w:p>
    <w:p w14:paraId="78237F9B" w14:textId="2C76ABBF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Sul capitolo </w:t>
      </w:r>
      <w:r>
        <w:rPr>
          <w:rFonts w:cstheme="minorHAnsi"/>
          <w:b/>
          <w:bCs/>
          <w:sz w:val="24"/>
          <w:szCs w:val="24"/>
        </w:rPr>
        <w:t>competitività</w:t>
      </w:r>
      <w:r>
        <w:rPr>
          <w:rFonts w:cstheme="minorHAnsi"/>
          <w:sz w:val="24"/>
          <w:szCs w:val="24"/>
        </w:rPr>
        <w:t xml:space="preserve"> sono stati: concessi oltre 11,7 milioni di euro, di cui oltre 1 milione per insediamento giovani. Sul programma europeo </w:t>
      </w:r>
      <w:r>
        <w:rPr>
          <w:rFonts w:cstheme="minorHAnsi"/>
          <w:b/>
          <w:bCs/>
          <w:sz w:val="24"/>
          <w:szCs w:val="24"/>
        </w:rPr>
        <w:t xml:space="preserve">Leader </w:t>
      </w:r>
      <w:r>
        <w:rPr>
          <w:rFonts w:cstheme="minorHAnsi"/>
          <w:sz w:val="24"/>
          <w:szCs w:val="24"/>
        </w:rPr>
        <w:t xml:space="preserve">sono stati concessi contributi </w:t>
      </w:r>
      <w:proofErr w:type="gramStart"/>
      <w:r>
        <w:rPr>
          <w:rFonts w:cstheme="minorHAnsi"/>
          <w:sz w:val="24"/>
          <w:szCs w:val="24"/>
        </w:rPr>
        <w:t>per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1</w:t>
      </w:r>
      <w:proofErr w:type="gramEnd"/>
      <w:r>
        <w:rPr>
          <w:rFonts w:cstheme="minorHAnsi"/>
          <w:sz w:val="24"/>
          <w:szCs w:val="24"/>
        </w:rPr>
        <w:t>,8 milioni per 2,4 milioni di investimenti prodotti.</w:t>
      </w:r>
    </w:p>
    <w:p w14:paraId="04E34371" w14:textId="37A8075C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I contributi della Politica agricola comunitaria </w:t>
      </w:r>
    </w:p>
    <w:p w14:paraId="1D9EE958" w14:textId="77777777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quanto riguarda poi gli interventi sulla </w:t>
      </w:r>
      <w:r>
        <w:rPr>
          <w:rFonts w:cstheme="minorHAnsi"/>
          <w:b/>
          <w:bCs/>
          <w:sz w:val="24"/>
          <w:szCs w:val="24"/>
        </w:rPr>
        <w:t>Politica agricola comunitaria dal 2021 a oggi</w:t>
      </w:r>
      <w:r>
        <w:rPr>
          <w:rFonts w:cstheme="minorHAnsi"/>
          <w:sz w:val="24"/>
          <w:szCs w:val="24"/>
        </w:rPr>
        <w:t xml:space="preserve">, la provincia di Ravenna ha beneficiato di </w:t>
      </w:r>
      <w:r>
        <w:rPr>
          <w:rFonts w:cstheme="minorHAnsi"/>
          <w:b/>
          <w:bCs/>
          <w:sz w:val="24"/>
          <w:szCs w:val="24"/>
        </w:rPr>
        <w:t>complessivi 45 milioni di euro.</w:t>
      </w:r>
    </w:p>
    <w:p w14:paraId="392ECA7D" w14:textId="5FA77E60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settori principali sono stati i </w:t>
      </w:r>
      <w:r>
        <w:rPr>
          <w:rFonts w:cstheme="minorHAnsi"/>
          <w:b/>
          <w:bCs/>
          <w:sz w:val="24"/>
          <w:szCs w:val="24"/>
        </w:rPr>
        <w:t>pagamenti di base</w:t>
      </w:r>
      <w:r>
        <w:rPr>
          <w:rFonts w:cstheme="minorHAnsi"/>
          <w:sz w:val="24"/>
          <w:szCs w:val="24"/>
        </w:rPr>
        <w:t xml:space="preserve">, ovvero la quota </w:t>
      </w:r>
      <w:r>
        <w:rPr>
          <w:rFonts w:cstheme="minorHAnsi"/>
          <w:color w:val="0F1419"/>
          <w:sz w:val="24"/>
          <w:szCs w:val="24"/>
          <w:shd w:val="clear" w:color="auto" w:fill="FFFFFF"/>
        </w:rPr>
        <w:t xml:space="preserve">destinata al sostegno al reddito degli agricoltori per </w:t>
      </w:r>
      <w:r>
        <w:rPr>
          <w:rFonts w:cstheme="minorHAnsi"/>
          <w:sz w:val="24"/>
          <w:szCs w:val="24"/>
        </w:rPr>
        <w:t xml:space="preserve">28milioni di euro; il </w:t>
      </w:r>
      <w:r>
        <w:rPr>
          <w:rFonts w:cstheme="minorHAnsi"/>
          <w:b/>
          <w:bCs/>
          <w:sz w:val="24"/>
          <w:szCs w:val="24"/>
        </w:rPr>
        <w:t>greening</w:t>
      </w:r>
      <w:r>
        <w:rPr>
          <w:rFonts w:cstheme="minorHAnsi"/>
          <w:sz w:val="24"/>
          <w:szCs w:val="24"/>
        </w:rPr>
        <w:t xml:space="preserve"> - </w:t>
      </w:r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pratiche benefiche per il clima e l’ambiente </w:t>
      </w:r>
      <w:proofErr w:type="gramStart"/>
      <w:r>
        <w:rPr>
          <w:rFonts w:cstheme="minorHAnsi"/>
          <w:color w:val="333333"/>
          <w:sz w:val="24"/>
          <w:szCs w:val="24"/>
          <w:shd w:val="clear" w:color="auto" w:fill="FFFFFF"/>
        </w:rPr>
        <w:t>-  per</w:t>
      </w:r>
      <w:proofErr w:type="gramEnd"/>
      <w:r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</w:rPr>
        <w:t xml:space="preserve">12 milioni di euro; il comparto della </w:t>
      </w:r>
      <w:r>
        <w:rPr>
          <w:rFonts w:cstheme="minorHAnsi"/>
          <w:b/>
          <w:bCs/>
          <w:sz w:val="24"/>
          <w:szCs w:val="24"/>
        </w:rPr>
        <w:t>barbabietola da zucchero</w:t>
      </w:r>
      <w:r>
        <w:rPr>
          <w:rFonts w:cstheme="minorHAnsi"/>
          <w:sz w:val="24"/>
          <w:szCs w:val="24"/>
        </w:rPr>
        <w:t xml:space="preserve"> per  1,2 milioni di euro e il </w:t>
      </w:r>
      <w:r>
        <w:rPr>
          <w:rFonts w:cstheme="minorHAnsi"/>
          <w:b/>
          <w:bCs/>
          <w:sz w:val="24"/>
          <w:szCs w:val="24"/>
        </w:rPr>
        <w:t>pomodoro da industria</w:t>
      </w:r>
      <w:r>
        <w:rPr>
          <w:rFonts w:cstheme="minorHAnsi"/>
          <w:sz w:val="24"/>
          <w:szCs w:val="24"/>
        </w:rPr>
        <w:t>, per 900mila euro.</w:t>
      </w:r>
    </w:p>
    <w:p w14:paraId="531AE783" w14:textId="442F3022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Misure per settore vino </w:t>
      </w:r>
    </w:p>
    <w:p w14:paraId="4A307F14" w14:textId="77777777" w:rsidR="008830FF" w:rsidRDefault="008830FF" w:rsidP="008830F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Dal 2021 ad oggi </w:t>
      </w:r>
      <w:r>
        <w:rPr>
          <w:rFonts w:cstheme="minorHAnsi"/>
          <w:sz w:val="24"/>
          <w:szCs w:val="24"/>
        </w:rPr>
        <w:t>ammontano a</w:t>
      </w:r>
      <w:r>
        <w:rPr>
          <w:rFonts w:cstheme="minorHAnsi"/>
          <w:b/>
          <w:bCs/>
          <w:sz w:val="24"/>
          <w:szCs w:val="24"/>
        </w:rPr>
        <w:t xml:space="preserve"> 29 milioni di euro </w:t>
      </w:r>
      <w:r>
        <w:rPr>
          <w:rFonts w:cstheme="minorHAnsi"/>
          <w:sz w:val="24"/>
          <w:szCs w:val="24"/>
        </w:rPr>
        <w:t>le risorse dell’</w:t>
      </w:r>
      <w:proofErr w:type="spellStart"/>
      <w:r>
        <w:rPr>
          <w:rFonts w:cstheme="minorHAnsi"/>
          <w:b/>
          <w:bCs/>
          <w:sz w:val="24"/>
          <w:szCs w:val="24"/>
        </w:rPr>
        <w:t>Ocm</w:t>
      </w:r>
      <w:proofErr w:type="spellEnd"/>
      <w:r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</w:rPr>
        <w:t>Organizzzazione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comune di mercato) per il vino. </w:t>
      </w:r>
      <w:r>
        <w:rPr>
          <w:rFonts w:cstheme="minorHAnsi"/>
          <w:sz w:val="24"/>
          <w:szCs w:val="24"/>
        </w:rPr>
        <w:t xml:space="preserve">Le risorse sono così suddivise: pagamenti diretti per 11,8 milioni di euro, contributi per investimenti 659mila euro, progetti di filiera 16,7 milioni di euro, a fronte di 48,8 milioni di euro di progetti. </w:t>
      </w:r>
    </w:p>
    <w:p w14:paraId="1C044546" w14:textId="61566EC7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Le opere irrigue </w:t>
      </w:r>
    </w:p>
    <w:p w14:paraId="6AE23E75" w14:textId="77777777" w:rsidR="008830FF" w:rsidRDefault="008830FF" w:rsidP="008830F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Gli investimenti per le </w:t>
      </w:r>
      <w:r>
        <w:rPr>
          <w:rFonts w:cstheme="minorHAnsi"/>
          <w:b/>
          <w:bCs/>
          <w:sz w:val="24"/>
          <w:szCs w:val="24"/>
        </w:rPr>
        <w:t>infrastrutture irrigue</w:t>
      </w:r>
      <w:r>
        <w:rPr>
          <w:rFonts w:cstheme="minorHAnsi"/>
          <w:sz w:val="24"/>
          <w:szCs w:val="24"/>
        </w:rPr>
        <w:t xml:space="preserve"> in provincia di Ravenna, per un valore di </w:t>
      </w:r>
      <w:r>
        <w:rPr>
          <w:rFonts w:cstheme="minorHAnsi"/>
          <w:b/>
          <w:bCs/>
          <w:sz w:val="24"/>
          <w:szCs w:val="24"/>
        </w:rPr>
        <w:t>132 milioni di euro,</w:t>
      </w:r>
      <w:r>
        <w:rPr>
          <w:rFonts w:cstheme="minorHAnsi"/>
          <w:sz w:val="24"/>
          <w:szCs w:val="24"/>
        </w:rPr>
        <w:t xml:space="preserve"> consistono nei lavori di messa in sicurezza e </w:t>
      </w:r>
      <w:proofErr w:type="gramStart"/>
      <w:r>
        <w:rPr>
          <w:rFonts w:cstheme="minorHAnsi"/>
          <w:sz w:val="24"/>
          <w:szCs w:val="24"/>
        </w:rPr>
        <w:t>miglioramento  degli</w:t>
      </w:r>
      <w:proofErr w:type="gramEnd"/>
      <w:r>
        <w:rPr>
          <w:rFonts w:cstheme="minorHAnsi"/>
          <w:sz w:val="24"/>
          <w:szCs w:val="24"/>
        </w:rPr>
        <w:t xml:space="preserve"> impianti idraulici a cura dei Consorzi di bonifica su tutto il territorio: dal Canale Emiliano Romagnolo (CER), al rafforzamento e ampliamento delle reti di distribuzione irrigua, alla costruzione di invasi. Non mancano interventi di sostenibilità ambientale con la realizzazione di impianti fotovoltaici galleggianti e le opere per fronteggiare la subsidenza caratteristica del territorio ravennate.</w:t>
      </w:r>
    </w:p>
    <w:p w14:paraId="2A895317" w14:textId="4BE4ADBF" w:rsidR="008830FF" w:rsidRDefault="008830FF" w:rsidP="008830FF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>
        <w:rPr>
          <w:rFonts w:cstheme="minorHAnsi"/>
          <w:b/>
          <w:bCs/>
          <w:sz w:val="24"/>
          <w:szCs w:val="24"/>
        </w:rPr>
        <w:t xml:space="preserve">Contributi eccezionali e Aiuti di Stato </w:t>
      </w:r>
    </w:p>
    <w:p w14:paraId="714570CB" w14:textId="77777777" w:rsidR="008830FF" w:rsidRDefault="008830FF" w:rsidP="008830FF">
      <w:pPr>
        <w:spacing w:before="80" w:after="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Complessivamente ammontano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 xml:space="preserve"> 19,3 milioni</w:t>
      </w:r>
      <w:r>
        <w:rPr>
          <w:rFonts w:cstheme="minorHAnsi"/>
          <w:sz w:val="24"/>
          <w:szCs w:val="24"/>
        </w:rPr>
        <w:t>, così suddivisi: per i danni da gelate sono stati stanziati 11,3 milioni di euro; per le perdite dei raccolti causate dall’infestazione da cimice asiatica 7,2 milioni di euro; e infine per gli aiuti ai bieticoltori: 852 mila euro.</w:t>
      </w:r>
    </w:p>
    <w:sectPr w:rsidR="008830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FF"/>
    <w:rsid w:val="005405C9"/>
    <w:rsid w:val="008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E640"/>
  <w15:chartTrackingRefBased/>
  <w15:docId w15:val="{0B2A6BF3-761D-46CD-8244-08D5887C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30FF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2022-10-20T13:40:00Z</dcterms:created>
  <dcterms:modified xsi:type="dcterms:W3CDTF">2022-10-20T13:42:00Z</dcterms:modified>
</cp:coreProperties>
</file>