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4FB9" w14:textId="77777777" w:rsidR="00444268" w:rsidRPr="00AF0F5E" w:rsidRDefault="00444268" w:rsidP="00444268">
      <w:pPr>
        <w:pBdr>
          <w:top w:val="single" w:sz="4" w:space="1" w:color="auto"/>
          <w:left w:val="single" w:sz="4" w:space="4" w:color="auto"/>
          <w:bottom w:val="single" w:sz="4" w:space="1" w:color="auto"/>
          <w:right w:val="single" w:sz="4" w:space="4" w:color="auto"/>
        </w:pBdr>
        <w:shd w:val="clear" w:color="auto" w:fill="FFFFFF"/>
        <w:spacing w:before="80" w:after="80" w:line="240" w:lineRule="auto"/>
        <w:jc w:val="both"/>
        <w:rPr>
          <w:rFonts w:eastAsia="Times New Roman" w:cstheme="minorHAnsi"/>
          <w:color w:val="1C2024"/>
          <w:sz w:val="24"/>
          <w:szCs w:val="24"/>
          <w:lang w:eastAsia="it-IT"/>
        </w:rPr>
      </w:pPr>
      <w:r w:rsidRPr="00AF0F5E">
        <w:rPr>
          <w:rFonts w:eastAsia="Times New Roman" w:cstheme="minorHAnsi"/>
          <w:color w:val="1C2024"/>
          <w:sz w:val="24"/>
          <w:szCs w:val="24"/>
          <w:lang w:eastAsia="it-IT"/>
        </w:rPr>
        <w:t>ALLEGATO</w:t>
      </w:r>
    </w:p>
    <w:p w14:paraId="13093125" w14:textId="77777777" w:rsidR="00444268" w:rsidRDefault="00444268" w:rsidP="00444268">
      <w:pPr>
        <w:shd w:val="clear" w:color="auto" w:fill="FFFFFF"/>
        <w:spacing w:before="80" w:after="80" w:line="240" w:lineRule="auto"/>
        <w:jc w:val="both"/>
        <w:rPr>
          <w:rFonts w:eastAsia="Times New Roman" w:cstheme="minorHAnsi"/>
          <w:b/>
          <w:bCs/>
          <w:color w:val="1C2024"/>
          <w:sz w:val="24"/>
          <w:szCs w:val="24"/>
          <w:lang w:eastAsia="it-IT"/>
        </w:rPr>
      </w:pPr>
    </w:p>
    <w:p w14:paraId="62AF101D" w14:textId="77777777" w:rsidR="00444268" w:rsidRDefault="00444268" w:rsidP="00444268">
      <w:pPr>
        <w:shd w:val="clear" w:color="auto" w:fill="FFFFFF"/>
        <w:spacing w:before="80" w:after="80" w:line="240" w:lineRule="auto"/>
        <w:jc w:val="both"/>
        <w:rPr>
          <w:rFonts w:eastAsia="Times New Roman" w:cstheme="minorHAnsi"/>
          <w:b/>
          <w:bCs/>
          <w:color w:val="1C2024"/>
          <w:sz w:val="24"/>
          <w:szCs w:val="24"/>
          <w:lang w:eastAsia="it-IT"/>
        </w:rPr>
      </w:pPr>
      <w:r w:rsidRPr="00AF0F5E">
        <w:rPr>
          <w:rFonts w:eastAsia="Times New Roman" w:cstheme="minorHAnsi"/>
          <w:b/>
          <w:bCs/>
          <w:color w:val="1C2024"/>
          <w:sz w:val="24"/>
          <w:szCs w:val="24"/>
          <w:lang w:eastAsia="it-IT"/>
        </w:rPr>
        <w:t xml:space="preserve">Il progetto sperimentale </w:t>
      </w:r>
    </w:p>
    <w:p w14:paraId="710A00CC" w14:textId="77777777" w:rsidR="00444268" w:rsidRDefault="00444268" w:rsidP="00444268">
      <w:pPr>
        <w:shd w:val="clear" w:color="auto" w:fill="FFFFFF"/>
        <w:spacing w:before="80" w:after="80" w:line="240" w:lineRule="auto"/>
        <w:jc w:val="both"/>
        <w:rPr>
          <w:sz w:val="24"/>
          <w:szCs w:val="24"/>
        </w:rPr>
      </w:pPr>
      <w:r w:rsidRPr="00AF0F5E">
        <w:rPr>
          <w:sz w:val="24"/>
          <w:szCs w:val="24"/>
        </w:rPr>
        <w:t xml:space="preserve">Il programma di lavoro avviato nel 2021 ha visto la realizzazione di coperture con reti multifunzionali di più tipologie applicate in differenti configurazioni, con l’obiettivo di valutare il contributo nella riduzione </w:t>
      </w:r>
      <w:proofErr w:type="gramStart"/>
      <w:r w:rsidRPr="00AF0F5E">
        <w:rPr>
          <w:sz w:val="24"/>
          <w:szCs w:val="24"/>
        </w:rPr>
        <w:t xml:space="preserve">di  </w:t>
      </w:r>
      <w:proofErr w:type="spellStart"/>
      <w:r w:rsidRPr="00AF0F5E">
        <w:rPr>
          <w:sz w:val="24"/>
          <w:szCs w:val="24"/>
        </w:rPr>
        <w:t>fisiopatie</w:t>
      </w:r>
      <w:proofErr w:type="spellEnd"/>
      <w:proofErr w:type="gramEnd"/>
      <w:r w:rsidRPr="00AF0F5E">
        <w:rPr>
          <w:sz w:val="24"/>
          <w:szCs w:val="24"/>
        </w:rPr>
        <w:t xml:space="preserve"> quali il </w:t>
      </w:r>
      <w:r w:rsidRPr="00AF0F5E">
        <w:rPr>
          <w:b/>
          <w:bCs/>
          <w:sz w:val="24"/>
          <w:szCs w:val="24"/>
        </w:rPr>
        <w:t>cracking dei frutti</w:t>
      </w:r>
      <w:r w:rsidRPr="00AF0F5E">
        <w:rPr>
          <w:sz w:val="24"/>
          <w:szCs w:val="24"/>
        </w:rPr>
        <w:t xml:space="preserve"> e nel contempo la protezione nei confronti delle </w:t>
      </w:r>
      <w:r w:rsidRPr="00AF0F5E">
        <w:rPr>
          <w:b/>
          <w:bCs/>
          <w:sz w:val="24"/>
          <w:szCs w:val="24"/>
        </w:rPr>
        <w:t>infestazioni di Drosofila.</w:t>
      </w:r>
      <w:r w:rsidRPr="00AF0F5E">
        <w:rPr>
          <w:sz w:val="24"/>
          <w:szCs w:val="24"/>
        </w:rPr>
        <w:t xml:space="preserve"> </w:t>
      </w:r>
    </w:p>
    <w:p w14:paraId="27CD9144" w14:textId="77777777" w:rsidR="00444268" w:rsidRPr="00AF0F5E" w:rsidRDefault="00444268" w:rsidP="00444268">
      <w:pPr>
        <w:shd w:val="clear" w:color="auto" w:fill="FFFFFF"/>
        <w:spacing w:before="80" w:after="80" w:line="240" w:lineRule="auto"/>
        <w:jc w:val="both"/>
        <w:rPr>
          <w:sz w:val="24"/>
          <w:szCs w:val="24"/>
        </w:rPr>
      </w:pPr>
      <w:r w:rsidRPr="00AF0F5E">
        <w:rPr>
          <w:sz w:val="24"/>
          <w:szCs w:val="24"/>
        </w:rPr>
        <w:t>L’esperienza delle prime due stagioni si è realizzata nei campi collezione varietali divenendo propedeutica alla valutazione dell’adattabilità delle nuove cultivar alla coltivazione sotto rete. Per questo scopo gli impianti sono stati dotati di una raffinata rete di raccolta di dati che consente il raffronto con le condizioni esterne.</w:t>
      </w:r>
    </w:p>
    <w:p w14:paraId="144A9A9F" w14:textId="77777777" w:rsidR="00444268" w:rsidRPr="00AF0F5E" w:rsidRDefault="00444268" w:rsidP="00444268">
      <w:pPr>
        <w:spacing w:before="80" w:after="80"/>
        <w:jc w:val="both"/>
        <w:rPr>
          <w:sz w:val="24"/>
          <w:szCs w:val="24"/>
        </w:rPr>
      </w:pPr>
      <w:r w:rsidRPr="00AF0F5E">
        <w:rPr>
          <w:sz w:val="24"/>
          <w:szCs w:val="24"/>
        </w:rPr>
        <w:t xml:space="preserve">È stato realizzato così un </w:t>
      </w:r>
      <w:r w:rsidRPr="00AF0F5E">
        <w:rPr>
          <w:b/>
          <w:sz w:val="24"/>
          <w:szCs w:val="24"/>
        </w:rPr>
        <w:t>sistema integrato di gestione</w:t>
      </w:r>
      <w:r w:rsidRPr="00AF0F5E">
        <w:rPr>
          <w:sz w:val="24"/>
          <w:szCs w:val="24"/>
        </w:rPr>
        <w:t xml:space="preserve"> in quanto il progetto abbina la protezione offerta dalle </w:t>
      </w:r>
      <w:r w:rsidRPr="00AF0F5E">
        <w:rPr>
          <w:b/>
          <w:sz w:val="24"/>
          <w:szCs w:val="24"/>
        </w:rPr>
        <w:t>reti multifunzionali</w:t>
      </w:r>
      <w:r w:rsidRPr="00AF0F5E">
        <w:rPr>
          <w:sz w:val="24"/>
          <w:szCs w:val="24"/>
        </w:rPr>
        <w:t xml:space="preserve"> all’integrazione di soluzioni insetticide a basso impatto basate sulla </w:t>
      </w:r>
      <w:r w:rsidRPr="00AF0F5E">
        <w:rPr>
          <w:b/>
          <w:sz w:val="24"/>
          <w:szCs w:val="24"/>
        </w:rPr>
        <w:t xml:space="preserve">tecnica </w:t>
      </w:r>
      <w:proofErr w:type="spellStart"/>
      <w:r w:rsidRPr="00AF0F5E">
        <w:rPr>
          <w:b/>
          <w:i/>
          <w:sz w:val="24"/>
          <w:szCs w:val="24"/>
        </w:rPr>
        <w:t>attract</w:t>
      </w:r>
      <w:proofErr w:type="spellEnd"/>
      <w:r w:rsidRPr="00AF0F5E">
        <w:rPr>
          <w:b/>
          <w:i/>
          <w:sz w:val="24"/>
          <w:szCs w:val="24"/>
        </w:rPr>
        <w:t xml:space="preserve"> &amp; </w:t>
      </w:r>
      <w:proofErr w:type="spellStart"/>
      <w:r w:rsidRPr="00AF0F5E">
        <w:rPr>
          <w:b/>
          <w:i/>
          <w:sz w:val="24"/>
          <w:szCs w:val="24"/>
        </w:rPr>
        <w:t>kill</w:t>
      </w:r>
      <w:proofErr w:type="spellEnd"/>
      <w:r w:rsidRPr="00AF0F5E">
        <w:rPr>
          <w:sz w:val="24"/>
          <w:szCs w:val="24"/>
        </w:rPr>
        <w:t xml:space="preserve"> a cui si affianca la gestione territoriale attraverso uno specifico intervento di </w:t>
      </w:r>
      <w:r w:rsidRPr="00AF0F5E">
        <w:rPr>
          <w:b/>
          <w:sz w:val="24"/>
          <w:szCs w:val="24"/>
        </w:rPr>
        <w:t>lotta biologica</w:t>
      </w:r>
      <w:r w:rsidRPr="00AF0F5E">
        <w:rPr>
          <w:sz w:val="24"/>
          <w:szCs w:val="24"/>
        </w:rPr>
        <w:t xml:space="preserve"> autorizzato dal ministero dell’Ambiente che punta alla biodiversità e al raggiungimento di un equilibrio nell’agroecosistema.</w:t>
      </w:r>
    </w:p>
    <w:p w14:paraId="0D1A9317" w14:textId="77777777" w:rsidR="00444268" w:rsidRDefault="00444268" w:rsidP="00444268">
      <w:pPr>
        <w:spacing w:before="80" w:after="80"/>
        <w:jc w:val="both"/>
        <w:rPr>
          <w:sz w:val="24"/>
          <w:szCs w:val="24"/>
        </w:rPr>
      </w:pPr>
      <w:r w:rsidRPr="00AF0F5E">
        <w:rPr>
          <w:sz w:val="24"/>
          <w:szCs w:val="24"/>
        </w:rPr>
        <w:t xml:space="preserve">Il progetto originario non contemplava un programma di lotta biologica territoriale ma in funzione del comportamento di Drosofila, che analogamente a Cimice asiatica può essere considerata una specie di territorio, si è ritenuto strategico puntare all’introduzione di un </w:t>
      </w:r>
      <w:proofErr w:type="spellStart"/>
      <w:r w:rsidRPr="00AF0F5E">
        <w:rPr>
          <w:sz w:val="24"/>
          <w:szCs w:val="24"/>
        </w:rPr>
        <w:t>parassitoide</w:t>
      </w:r>
      <w:proofErr w:type="spellEnd"/>
      <w:r w:rsidRPr="00AF0F5E">
        <w:rPr>
          <w:sz w:val="24"/>
          <w:szCs w:val="24"/>
        </w:rPr>
        <w:t xml:space="preserve"> che rafforzasse l’azione delle specie indigene. </w:t>
      </w:r>
    </w:p>
    <w:p w14:paraId="4F899E37" w14:textId="77777777" w:rsidR="00444268" w:rsidRPr="00AF0F5E" w:rsidRDefault="00444268" w:rsidP="00444268">
      <w:pPr>
        <w:spacing w:before="80" w:after="80"/>
        <w:jc w:val="both"/>
        <w:rPr>
          <w:sz w:val="24"/>
          <w:szCs w:val="24"/>
        </w:rPr>
      </w:pPr>
      <w:r w:rsidRPr="00AF0F5E">
        <w:rPr>
          <w:sz w:val="24"/>
          <w:szCs w:val="24"/>
        </w:rPr>
        <w:t xml:space="preserve">A tal proposito è nata una collaborazione con la fondazione Edmund Mach e </w:t>
      </w:r>
      <w:proofErr w:type="spellStart"/>
      <w:r w:rsidRPr="00AF0F5E">
        <w:rPr>
          <w:sz w:val="24"/>
          <w:szCs w:val="24"/>
        </w:rPr>
        <w:t>UniBO</w:t>
      </w:r>
      <w:proofErr w:type="spellEnd"/>
      <w:r w:rsidRPr="00AF0F5E">
        <w:rPr>
          <w:sz w:val="24"/>
          <w:szCs w:val="24"/>
        </w:rPr>
        <w:t xml:space="preserve"> che ha portato alla richiesta e successivo conseguimento delle autorizzazioni per il rilascio di </w:t>
      </w:r>
      <w:proofErr w:type="spellStart"/>
      <w:r w:rsidRPr="00AF0F5E">
        <w:rPr>
          <w:i/>
          <w:sz w:val="24"/>
          <w:szCs w:val="24"/>
        </w:rPr>
        <w:t>Ganaspis</w:t>
      </w:r>
      <w:proofErr w:type="spellEnd"/>
      <w:r w:rsidRPr="00AF0F5E">
        <w:rPr>
          <w:i/>
          <w:sz w:val="24"/>
          <w:szCs w:val="24"/>
        </w:rPr>
        <w:t xml:space="preserve"> </w:t>
      </w:r>
      <w:proofErr w:type="spellStart"/>
      <w:r w:rsidRPr="00AF0F5E">
        <w:rPr>
          <w:i/>
          <w:sz w:val="24"/>
          <w:szCs w:val="24"/>
        </w:rPr>
        <w:t>brasiliensis</w:t>
      </w:r>
      <w:proofErr w:type="spellEnd"/>
      <w:r w:rsidRPr="00AF0F5E">
        <w:rPr>
          <w:sz w:val="24"/>
          <w:szCs w:val="24"/>
        </w:rPr>
        <w:t xml:space="preserve"> negli ambienti naturali circostanti l’area </w:t>
      </w:r>
      <w:proofErr w:type="spellStart"/>
      <w:r w:rsidRPr="00AF0F5E">
        <w:rPr>
          <w:sz w:val="24"/>
          <w:szCs w:val="24"/>
        </w:rPr>
        <w:t>cerasicola</w:t>
      </w:r>
      <w:proofErr w:type="spellEnd"/>
      <w:r w:rsidRPr="00AF0F5E">
        <w:rPr>
          <w:sz w:val="24"/>
          <w:szCs w:val="24"/>
        </w:rPr>
        <w:t xml:space="preserve"> ove la specie può moltiplicarsi indisturbata </w:t>
      </w:r>
      <w:proofErr w:type="spellStart"/>
      <w:r w:rsidRPr="00AF0F5E">
        <w:rPr>
          <w:sz w:val="24"/>
          <w:szCs w:val="24"/>
        </w:rPr>
        <w:t>parassitizzando</w:t>
      </w:r>
      <w:proofErr w:type="spellEnd"/>
      <w:r w:rsidRPr="00AF0F5E">
        <w:rPr>
          <w:sz w:val="24"/>
          <w:szCs w:val="24"/>
        </w:rPr>
        <w:t xml:space="preserve"> le popolazioni di Drosofila che insistono su essenze autoctone quali Mora, Sambuco, Edera.</w:t>
      </w:r>
    </w:p>
    <w:p w14:paraId="6D877B0B" w14:textId="77777777" w:rsidR="00444268" w:rsidRDefault="00444268" w:rsidP="00444268">
      <w:pPr>
        <w:spacing w:before="80" w:after="80"/>
        <w:jc w:val="both"/>
        <w:rPr>
          <w:sz w:val="24"/>
          <w:szCs w:val="24"/>
        </w:rPr>
      </w:pPr>
      <w:r w:rsidRPr="00AF0F5E">
        <w:rPr>
          <w:sz w:val="24"/>
          <w:szCs w:val="24"/>
        </w:rPr>
        <w:t xml:space="preserve">A settembre 2021 sono stati effettuati i primi rilasci in 5 siti, integrati con ulteriori 13 lanci nel </w:t>
      </w:r>
      <w:proofErr w:type="gramStart"/>
      <w:r w:rsidRPr="00AF0F5E">
        <w:rPr>
          <w:sz w:val="24"/>
          <w:szCs w:val="24"/>
        </w:rPr>
        <w:t>2022,  lungo</w:t>
      </w:r>
      <w:proofErr w:type="gramEnd"/>
      <w:r w:rsidRPr="00AF0F5E">
        <w:rPr>
          <w:sz w:val="24"/>
          <w:szCs w:val="24"/>
        </w:rPr>
        <w:t xml:space="preserve"> il “Percorso Natura” in area naturalistica, ricca di specie attrattive per </w:t>
      </w:r>
      <w:proofErr w:type="spellStart"/>
      <w:r w:rsidRPr="00AF0F5E">
        <w:rPr>
          <w:i/>
          <w:sz w:val="24"/>
          <w:szCs w:val="24"/>
        </w:rPr>
        <w:t>D.suzukii</w:t>
      </w:r>
      <w:proofErr w:type="spellEnd"/>
      <w:r w:rsidRPr="00AF0F5E">
        <w:rPr>
          <w:sz w:val="24"/>
          <w:szCs w:val="24"/>
        </w:rPr>
        <w:t xml:space="preserve"> situata fra il fiume Panaro e l’area di coltivazione del ciliegio.  </w:t>
      </w:r>
    </w:p>
    <w:p w14:paraId="018857C0" w14:textId="77777777" w:rsidR="00444268" w:rsidRPr="00AF0F5E" w:rsidRDefault="00444268" w:rsidP="00444268">
      <w:pPr>
        <w:spacing w:before="80" w:after="80"/>
        <w:jc w:val="both"/>
        <w:rPr>
          <w:sz w:val="24"/>
          <w:szCs w:val="24"/>
        </w:rPr>
      </w:pPr>
      <w:r w:rsidRPr="00AF0F5E">
        <w:rPr>
          <w:sz w:val="24"/>
          <w:szCs w:val="24"/>
        </w:rPr>
        <w:t xml:space="preserve">A seguito dei rilasci si è dato corso ad un programma di monitoraggio coordinato fra le diverse Unità Operative coinvolte, per valutarne l’insediamento e l'efficacia nei confronti della </w:t>
      </w:r>
      <w:r w:rsidRPr="00AF0F5E">
        <w:rPr>
          <w:i/>
          <w:sz w:val="24"/>
          <w:szCs w:val="24"/>
        </w:rPr>
        <w:t xml:space="preserve">D. </w:t>
      </w:r>
      <w:proofErr w:type="spellStart"/>
      <w:r w:rsidRPr="00AF0F5E">
        <w:rPr>
          <w:i/>
          <w:sz w:val="24"/>
          <w:szCs w:val="24"/>
        </w:rPr>
        <w:t>suzukii</w:t>
      </w:r>
      <w:proofErr w:type="spellEnd"/>
      <w:r w:rsidRPr="00AF0F5E">
        <w:rPr>
          <w:sz w:val="24"/>
          <w:szCs w:val="24"/>
        </w:rPr>
        <w:t xml:space="preserve"> oltre che seguire l’evoluzione di questa introduzione sugli ecosistemi locali.</w:t>
      </w:r>
    </w:p>
    <w:p w14:paraId="669B12E0" w14:textId="77777777" w:rsidR="00444268" w:rsidRPr="00AF0F5E" w:rsidRDefault="00444268" w:rsidP="00444268">
      <w:pPr>
        <w:spacing w:before="80" w:after="80"/>
        <w:jc w:val="both"/>
        <w:rPr>
          <w:sz w:val="24"/>
          <w:szCs w:val="24"/>
        </w:rPr>
      </w:pPr>
      <w:r w:rsidRPr="00AF0F5E">
        <w:rPr>
          <w:sz w:val="24"/>
          <w:szCs w:val="24"/>
        </w:rPr>
        <w:t xml:space="preserve">Fin dai primi rilievi i risultati paiono interessanti in funzione del ritrovamento di </w:t>
      </w:r>
      <w:proofErr w:type="spellStart"/>
      <w:r w:rsidRPr="00AF0F5E">
        <w:rPr>
          <w:sz w:val="24"/>
          <w:szCs w:val="24"/>
        </w:rPr>
        <w:t>parassitizzazioni</w:t>
      </w:r>
      <w:proofErr w:type="spellEnd"/>
      <w:r w:rsidRPr="00AF0F5E">
        <w:rPr>
          <w:sz w:val="24"/>
          <w:szCs w:val="24"/>
        </w:rPr>
        <w:t xml:space="preserve"> di </w:t>
      </w:r>
      <w:proofErr w:type="spellStart"/>
      <w:r w:rsidRPr="00AF0F5E">
        <w:rPr>
          <w:i/>
          <w:sz w:val="24"/>
          <w:szCs w:val="24"/>
        </w:rPr>
        <w:t>D.suzukii</w:t>
      </w:r>
      <w:proofErr w:type="spellEnd"/>
      <w:r w:rsidRPr="00AF0F5E">
        <w:rPr>
          <w:sz w:val="24"/>
          <w:szCs w:val="24"/>
        </w:rPr>
        <w:t xml:space="preserve"> da parte del G. </w:t>
      </w:r>
      <w:proofErr w:type="spellStart"/>
      <w:r w:rsidRPr="00AF0F5E">
        <w:rPr>
          <w:sz w:val="24"/>
          <w:szCs w:val="24"/>
        </w:rPr>
        <w:t>brasiliensis</w:t>
      </w:r>
      <w:proofErr w:type="spellEnd"/>
      <w:r w:rsidRPr="00AF0F5E">
        <w:rPr>
          <w:sz w:val="24"/>
          <w:szCs w:val="24"/>
        </w:rPr>
        <w:t>, senza che si siano rilevati off-target confermando la buona specificità  anticipatamente  appurata da prove di laboratorio.</w:t>
      </w:r>
    </w:p>
    <w:p w14:paraId="66300912" w14:textId="77777777" w:rsidR="00444268" w:rsidRPr="00AF0F5E" w:rsidRDefault="00444268" w:rsidP="00444268">
      <w:pPr>
        <w:pBdr>
          <w:top w:val="nil"/>
          <w:left w:val="nil"/>
          <w:bottom w:val="nil"/>
          <w:right w:val="nil"/>
          <w:between w:val="nil"/>
          <w:bar w:val="nil"/>
        </w:pBdr>
        <w:spacing w:before="80" w:after="80" w:line="276" w:lineRule="auto"/>
        <w:jc w:val="both"/>
        <w:rPr>
          <w:sz w:val="24"/>
          <w:szCs w:val="24"/>
        </w:rPr>
      </w:pPr>
      <w:r w:rsidRPr="00AF0F5E">
        <w:rPr>
          <w:sz w:val="24"/>
          <w:szCs w:val="24"/>
        </w:rPr>
        <w:t xml:space="preserve">Come da programmi, nella stagione che si sta aprendo </w:t>
      </w:r>
      <w:r w:rsidRPr="00AF0F5E">
        <w:rPr>
          <w:rFonts w:ascii="Calibri" w:eastAsia="Arial Unicode MS" w:hAnsi="Calibri" w:cs="Arial Unicode MS"/>
          <w:color w:val="000000"/>
          <w:sz w:val="24"/>
          <w:szCs w:val="24"/>
          <w:u w:color="000000"/>
          <w:bdr w:val="nil"/>
          <w:lang w:eastAsia="it-IT"/>
        </w:rPr>
        <w:t xml:space="preserve">è previsto l’ampliamento dell’area sperimentale dimostrativa attraverso la realizzazione e valutazione di altri impianti coperti con materiali innovativi, la verifica della complementarità della strategia </w:t>
      </w:r>
      <w:proofErr w:type="spellStart"/>
      <w:r w:rsidRPr="00AF0F5E">
        <w:rPr>
          <w:i/>
          <w:sz w:val="24"/>
          <w:szCs w:val="24"/>
        </w:rPr>
        <w:t>attract</w:t>
      </w:r>
      <w:proofErr w:type="spellEnd"/>
      <w:r w:rsidRPr="00AF0F5E">
        <w:rPr>
          <w:i/>
          <w:sz w:val="24"/>
          <w:szCs w:val="24"/>
        </w:rPr>
        <w:t xml:space="preserve"> &amp; </w:t>
      </w:r>
      <w:proofErr w:type="spellStart"/>
      <w:r w:rsidRPr="00AF0F5E">
        <w:rPr>
          <w:i/>
          <w:sz w:val="24"/>
          <w:szCs w:val="24"/>
        </w:rPr>
        <w:t>kill</w:t>
      </w:r>
      <w:proofErr w:type="spellEnd"/>
      <w:r w:rsidRPr="00AF0F5E">
        <w:rPr>
          <w:rFonts w:ascii="Calibri" w:eastAsia="Arial Unicode MS" w:hAnsi="Calibri" w:cs="Arial Unicode MS"/>
          <w:color w:val="000000"/>
          <w:sz w:val="24"/>
          <w:szCs w:val="24"/>
          <w:u w:color="000000"/>
          <w:bdr w:val="nil"/>
          <w:lang w:eastAsia="it-IT"/>
        </w:rPr>
        <w:t xml:space="preserve"> e la prosecuzione del programma di lotta biologica territoriale. </w:t>
      </w:r>
    </w:p>
    <w:p w14:paraId="5BD8D9D8" w14:textId="77777777" w:rsidR="00444268" w:rsidRDefault="00444268" w:rsidP="00444268">
      <w:pPr>
        <w:shd w:val="clear" w:color="auto" w:fill="FFFFFF"/>
        <w:spacing w:before="80" w:after="80" w:line="240" w:lineRule="auto"/>
        <w:jc w:val="both"/>
        <w:rPr>
          <w:rFonts w:eastAsia="Times New Roman" w:cstheme="minorHAnsi"/>
          <w:color w:val="1C2024"/>
          <w:sz w:val="24"/>
          <w:szCs w:val="24"/>
          <w:lang w:eastAsia="it-IT"/>
        </w:rPr>
      </w:pPr>
    </w:p>
    <w:p w14:paraId="292A194C" w14:textId="77777777" w:rsidR="00444268" w:rsidRDefault="00444268" w:rsidP="00444268">
      <w:pPr>
        <w:shd w:val="clear" w:color="auto" w:fill="FFFFFF"/>
        <w:spacing w:before="80" w:after="80" w:line="240" w:lineRule="auto"/>
        <w:jc w:val="both"/>
        <w:rPr>
          <w:rFonts w:eastAsia="Times New Roman" w:cstheme="minorHAnsi"/>
          <w:color w:val="1C2024"/>
          <w:sz w:val="24"/>
          <w:szCs w:val="24"/>
          <w:lang w:eastAsia="it-IT"/>
        </w:rPr>
      </w:pPr>
    </w:p>
    <w:p w14:paraId="4F194CAE" w14:textId="77777777" w:rsidR="00444268" w:rsidRDefault="00444268" w:rsidP="00444268">
      <w:pPr>
        <w:shd w:val="clear" w:color="auto" w:fill="FFFFFF"/>
        <w:spacing w:before="80" w:after="80" w:line="240" w:lineRule="auto"/>
        <w:jc w:val="both"/>
        <w:rPr>
          <w:rFonts w:eastAsia="Times New Roman" w:cstheme="minorHAnsi"/>
          <w:color w:val="1C2024"/>
          <w:sz w:val="24"/>
          <w:szCs w:val="24"/>
          <w:lang w:eastAsia="it-IT"/>
        </w:rPr>
      </w:pPr>
    </w:p>
    <w:p w14:paraId="189F8169" w14:textId="77777777" w:rsidR="00444268" w:rsidRDefault="00444268" w:rsidP="00444268">
      <w:pPr>
        <w:shd w:val="clear" w:color="auto" w:fill="FFFFFF"/>
        <w:spacing w:before="80" w:after="80" w:line="240" w:lineRule="auto"/>
        <w:jc w:val="both"/>
        <w:rPr>
          <w:rFonts w:eastAsia="Times New Roman" w:cstheme="minorHAnsi"/>
          <w:color w:val="1C2024"/>
          <w:sz w:val="24"/>
          <w:szCs w:val="24"/>
          <w:lang w:eastAsia="it-IT"/>
        </w:rPr>
      </w:pPr>
    </w:p>
    <w:p w14:paraId="3A345696" w14:textId="77777777" w:rsidR="00444268" w:rsidRDefault="00444268" w:rsidP="00444268">
      <w:pPr>
        <w:shd w:val="clear" w:color="auto" w:fill="FFFFFF"/>
        <w:spacing w:before="80" w:after="80" w:line="240" w:lineRule="auto"/>
        <w:jc w:val="both"/>
        <w:rPr>
          <w:rFonts w:eastAsia="Times New Roman" w:cstheme="minorHAnsi"/>
          <w:b/>
          <w:bCs/>
          <w:color w:val="1C2024"/>
          <w:sz w:val="24"/>
          <w:szCs w:val="24"/>
          <w:lang w:eastAsia="it-IT"/>
        </w:rPr>
      </w:pPr>
      <w:r w:rsidRPr="00AF0F5E">
        <w:rPr>
          <w:rFonts w:eastAsia="Times New Roman" w:cstheme="minorHAnsi"/>
          <w:b/>
          <w:bCs/>
          <w:color w:val="1C2024"/>
          <w:sz w:val="24"/>
          <w:szCs w:val="24"/>
          <w:lang w:eastAsia="it-IT"/>
        </w:rPr>
        <w:t>Il campo sperimental</w:t>
      </w:r>
      <w:r>
        <w:rPr>
          <w:rFonts w:eastAsia="Times New Roman" w:cstheme="minorHAnsi"/>
          <w:b/>
          <w:bCs/>
          <w:color w:val="1C2024"/>
          <w:sz w:val="24"/>
          <w:szCs w:val="24"/>
          <w:lang w:eastAsia="it-IT"/>
        </w:rPr>
        <w:t>e</w:t>
      </w:r>
    </w:p>
    <w:p w14:paraId="04EA903D" w14:textId="77777777" w:rsidR="00444268" w:rsidRPr="00AF0F5E" w:rsidRDefault="00444268" w:rsidP="00444268">
      <w:pPr>
        <w:shd w:val="clear" w:color="auto" w:fill="FFFFFF"/>
        <w:spacing w:before="80" w:after="80" w:line="240" w:lineRule="auto"/>
        <w:jc w:val="both"/>
        <w:rPr>
          <w:rFonts w:eastAsia="Times New Roman" w:cstheme="minorHAnsi"/>
          <w:color w:val="1C2024"/>
          <w:sz w:val="24"/>
          <w:szCs w:val="24"/>
          <w:lang w:eastAsia="it-IT"/>
        </w:rPr>
      </w:pPr>
      <w:r w:rsidRPr="00AF0F5E">
        <w:rPr>
          <w:rFonts w:eastAsia="Times New Roman" w:cstheme="minorHAnsi"/>
          <w:color w:val="1C2024"/>
          <w:sz w:val="24"/>
          <w:szCs w:val="24"/>
          <w:lang w:eastAsia="it-IT"/>
        </w:rPr>
        <w:t>La sperimentazione viene applicata a una collezione varietale attualmente curata dal Consorzio della Ciliegia di Vignola su cui vengono testati nuovi modelli di reti multifunzionali per la protezione del ciliegio.</w:t>
      </w:r>
    </w:p>
    <w:p w14:paraId="35AC1C2C" w14:textId="77777777" w:rsidR="00444268" w:rsidRPr="00AF0F5E" w:rsidRDefault="00444268" w:rsidP="00444268">
      <w:pPr>
        <w:shd w:val="clear" w:color="auto" w:fill="FFFFFF"/>
        <w:spacing w:before="80" w:after="80" w:line="240" w:lineRule="auto"/>
        <w:jc w:val="both"/>
        <w:rPr>
          <w:rFonts w:eastAsia="Times New Roman" w:cstheme="minorHAnsi"/>
          <w:color w:val="1C2024"/>
          <w:sz w:val="24"/>
          <w:szCs w:val="24"/>
          <w:lang w:eastAsia="it-IT"/>
        </w:rPr>
      </w:pPr>
      <w:r w:rsidRPr="00AF0F5E">
        <w:rPr>
          <w:rFonts w:eastAsia="Times New Roman" w:cstheme="minorHAnsi"/>
          <w:color w:val="1C2024"/>
          <w:sz w:val="24"/>
          <w:szCs w:val="24"/>
          <w:lang w:eastAsia="it-IT"/>
        </w:rPr>
        <w:t>Le coperture, nelle due versioni monoblocco e monofila, sono state realizzate con </w:t>
      </w:r>
      <w:r w:rsidRPr="00AF0F5E">
        <w:rPr>
          <w:rFonts w:eastAsia="Times New Roman" w:cstheme="minorHAnsi"/>
          <w:b/>
          <w:bCs/>
          <w:color w:val="1C2024"/>
          <w:sz w:val="24"/>
          <w:szCs w:val="24"/>
          <w:lang w:eastAsia="it-IT"/>
        </w:rPr>
        <w:t xml:space="preserve">rete </w:t>
      </w:r>
      <w:proofErr w:type="spellStart"/>
      <w:r w:rsidRPr="00AF0F5E">
        <w:rPr>
          <w:rFonts w:eastAsia="Times New Roman" w:cstheme="minorHAnsi"/>
          <w:b/>
          <w:bCs/>
          <w:color w:val="1C2024"/>
          <w:sz w:val="24"/>
          <w:szCs w:val="24"/>
          <w:lang w:eastAsia="it-IT"/>
        </w:rPr>
        <w:t>antidrosofila</w:t>
      </w:r>
      <w:proofErr w:type="spellEnd"/>
      <w:r w:rsidRPr="00AF0F5E">
        <w:rPr>
          <w:rFonts w:eastAsia="Times New Roman" w:cstheme="minorHAnsi"/>
          <w:color w:val="1C2024"/>
          <w:sz w:val="24"/>
          <w:szCs w:val="24"/>
          <w:lang w:eastAsia="it-IT"/>
        </w:rPr>
        <w:t>, rinforzata nella parte superiore con una </w:t>
      </w:r>
      <w:r w:rsidRPr="00AF0F5E">
        <w:rPr>
          <w:rFonts w:eastAsia="Times New Roman" w:cstheme="minorHAnsi"/>
          <w:b/>
          <w:bCs/>
          <w:color w:val="1C2024"/>
          <w:sz w:val="24"/>
          <w:szCs w:val="24"/>
          <w:lang w:eastAsia="it-IT"/>
        </w:rPr>
        <w:t>doppia rete impermeabile alle precipitazion</w:t>
      </w:r>
      <w:r w:rsidRPr="00AF0F5E">
        <w:rPr>
          <w:rFonts w:eastAsia="Times New Roman" w:cstheme="minorHAnsi"/>
          <w:color w:val="1C2024"/>
          <w:sz w:val="24"/>
          <w:szCs w:val="24"/>
          <w:lang w:eastAsia="it-IT"/>
        </w:rPr>
        <w:t>i, in grado quindi di proteggere i frutti dalle piogge e allo stesso tempo di permettere lo scambio di aria per mantenere condizioni ambientali ottimali nell’ambiente protetto. A tal fine gli impianti sono stati dotati di una </w:t>
      </w:r>
      <w:r w:rsidRPr="00AF0F5E">
        <w:rPr>
          <w:rFonts w:eastAsia="Times New Roman" w:cstheme="minorHAnsi"/>
          <w:b/>
          <w:bCs/>
          <w:color w:val="1C2024"/>
          <w:sz w:val="24"/>
          <w:szCs w:val="24"/>
          <w:lang w:eastAsia="it-IT"/>
        </w:rPr>
        <w:t>rete di raccolta di dati</w:t>
      </w:r>
      <w:r w:rsidRPr="00AF0F5E">
        <w:rPr>
          <w:rFonts w:eastAsia="Times New Roman" w:cstheme="minorHAnsi"/>
          <w:color w:val="1C2024"/>
          <w:sz w:val="24"/>
          <w:szCs w:val="24"/>
          <w:lang w:eastAsia="it-IT"/>
        </w:rPr>
        <w:t> che consente il raffronto con le condizioni esterne.</w:t>
      </w:r>
    </w:p>
    <w:p w14:paraId="26C19DAD" w14:textId="77777777" w:rsidR="00444268" w:rsidRPr="00AF0F5E" w:rsidRDefault="00444268" w:rsidP="00444268">
      <w:pPr>
        <w:shd w:val="clear" w:color="auto" w:fill="FFFFFF"/>
        <w:spacing w:before="80" w:after="80" w:line="240" w:lineRule="auto"/>
        <w:jc w:val="both"/>
        <w:rPr>
          <w:rFonts w:eastAsia="Times New Roman" w:cstheme="minorHAnsi"/>
          <w:color w:val="1C2024"/>
          <w:sz w:val="24"/>
          <w:szCs w:val="24"/>
          <w:lang w:eastAsia="it-IT"/>
        </w:rPr>
      </w:pPr>
      <w:r w:rsidRPr="00AF0F5E">
        <w:rPr>
          <w:rFonts w:eastAsia="Times New Roman" w:cstheme="minorHAnsi"/>
          <w:b/>
          <w:bCs/>
          <w:color w:val="1C2024"/>
          <w:sz w:val="24"/>
          <w:szCs w:val="24"/>
          <w:lang w:eastAsia="it-IT"/>
        </w:rPr>
        <w:t>Nel corso del progetto l’area sperimentale-dimostrativa</w:t>
      </w:r>
      <w:r w:rsidRPr="00AF0F5E">
        <w:rPr>
          <w:rFonts w:eastAsia="Times New Roman" w:cstheme="minorHAnsi"/>
          <w:color w:val="1C2024"/>
          <w:sz w:val="24"/>
          <w:szCs w:val="24"/>
          <w:lang w:eastAsia="it-IT"/>
        </w:rPr>
        <w:t> è stata ampliata attraverso la realizzazione di altri impianti coperti con materiali innovativi e la valutazione di queste strutture sia in appezzamenti condotti secondo i disciplinari di </w:t>
      </w:r>
      <w:r w:rsidRPr="00AF0F5E">
        <w:rPr>
          <w:rFonts w:eastAsia="Times New Roman" w:cstheme="minorHAnsi"/>
          <w:b/>
          <w:bCs/>
          <w:color w:val="1C2024"/>
          <w:sz w:val="24"/>
          <w:szCs w:val="24"/>
          <w:lang w:eastAsia="it-IT"/>
        </w:rPr>
        <w:t>produzione integrata</w:t>
      </w:r>
      <w:r w:rsidRPr="00AF0F5E">
        <w:rPr>
          <w:rFonts w:eastAsia="Times New Roman" w:cstheme="minorHAnsi"/>
          <w:color w:val="1C2024"/>
          <w:sz w:val="24"/>
          <w:szCs w:val="24"/>
          <w:lang w:eastAsia="it-IT"/>
        </w:rPr>
        <w:t> che in </w:t>
      </w:r>
      <w:r w:rsidRPr="00AF0F5E">
        <w:rPr>
          <w:rFonts w:eastAsia="Times New Roman" w:cstheme="minorHAnsi"/>
          <w:b/>
          <w:bCs/>
          <w:color w:val="1C2024"/>
          <w:sz w:val="24"/>
          <w:szCs w:val="24"/>
          <w:lang w:eastAsia="it-IT"/>
        </w:rPr>
        <w:t>agricoltura biologica</w:t>
      </w:r>
      <w:r w:rsidRPr="00AF0F5E">
        <w:rPr>
          <w:rFonts w:eastAsia="Times New Roman" w:cstheme="minorHAnsi"/>
          <w:color w:val="1C2024"/>
          <w:sz w:val="24"/>
          <w:szCs w:val="24"/>
          <w:lang w:eastAsia="it-IT"/>
        </w:rPr>
        <w:t xml:space="preserve">. </w:t>
      </w:r>
    </w:p>
    <w:p w14:paraId="6CCAB995" w14:textId="77777777" w:rsidR="00444268" w:rsidRPr="00AF0F5E" w:rsidRDefault="00444268" w:rsidP="00444268">
      <w:pPr>
        <w:spacing w:before="80" w:after="80"/>
        <w:jc w:val="both"/>
        <w:rPr>
          <w:sz w:val="24"/>
          <w:szCs w:val="24"/>
        </w:rPr>
      </w:pPr>
    </w:p>
    <w:p w14:paraId="70BCC6D9" w14:textId="77777777" w:rsidR="00986075" w:rsidRDefault="00986075"/>
    <w:sectPr w:rsidR="009860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68"/>
    <w:rsid w:val="00444268"/>
    <w:rsid w:val="009860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9AE2"/>
  <w15:chartTrackingRefBased/>
  <w15:docId w15:val="{BE217AE0-16CA-4465-8E6D-D0D9863A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426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Cavina Olga</dc:creator>
  <cp:keywords/>
  <dc:description/>
  <cp:lastModifiedBy>Cavina Olga</cp:lastModifiedBy>
  <cp:revision>1</cp:revision>
  <dcterms:created xsi:type="dcterms:W3CDTF">2023-02-27T10:10:00Z</dcterms:created>
  <dcterms:modified xsi:type="dcterms:W3CDTF">2023-02-27T10:11:00Z</dcterms:modified>
</cp:coreProperties>
</file>