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AD001" w14:textId="77777777" w:rsidR="00D36D14" w:rsidRPr="003408B2" w:rsidRDefault="00D36D14" w:rsidP="00D36D14">
      <w:pPr>
        <w:spacing w:before="80" w:after="80" w:line="240" w:lineRule="auto"/>
        <w:jc w:val="both"/>
        <w:rPr>
          <w:b/>
          <w:bCs/>
          <w:sz w:val="24"/>
          <w:szCs w:val="24"/>
        </w:rPr>
      </w:pPr>
      <w:r w:rsidRPr="003408B2">
        <w:rPr>
          <w:b/>
          <w:bCs/>
          <w:sz w:val="24"/>
          <w:szCs w:val="24"/>
          <w:bdr w:val="single" w:sz="4" w:space="0" w:color="auto"/>
        </w:rPr>
        <w:t>ALLEGATO</w:t>
      </w:r>
      <w:r w:rsidRPr="003408B2">
        <w:rPr>
          <w:b/>
          <w:bCs/>
          <w:sz w:val="24"/>
          <w:szCs w:val="24"/>
        </w:rPr>
        <w:br/>
      </w:r>
    </w:p>
    <w:p w14:paraId="0FDA8C29" w14:textId="77777777" w:rsidR="00D36D14" w:rsidRPr="003408B2" w:rsidRDefault="00D36D14" w:rsidP="00D36D14">
      <w:pPr>
        <w:spacing w:before="80" w:after="80" w:line="240" w:lineRule="auto"/>
        <w:jc w:val="both"/>
        <w:rPr>
          <w:b/>
          <w:bCs/>
          <w:sz w:val="24"/>
          <w:szCs w:val="24"/>
        </w:rPr>
      </w:pPr>
      <w:r w:rsidRPr="003408B2">
        <w:rPr>
          <w:b/>
          <w:bCs/>
          <w:sz w:val="24"/>
          <w:szCs w:val="24"/>
        </w:rPr>
        <w:t>La legge in sintesi</w:t>
      </w:r>
    </w:p>
    <w:p w14:paraId="4E3FB38C" w14:textId="77777777" w:rsidR="00D36D14" w:rsidRPr="003408B2" w:rsidRDefault="00D36D14" w:rsidP="00D36D14">
      <w:pPr>
        <w:spacing w:before="80" w:after="80" w:line="240" w:lineRule="auto"/>
        <w:jc w:val="both"/>
        <w:rPr>
          <w:b/>
          <w:bCs/>
          <w:sz w:val="24"/>
          <w:szCs w:val="24"/>
        </w:rPr>
      </w:pPr>
    </w:p>
    <w:p w14:paraId="7CD7D39A" w14:textId="77777777" w:rsidR="00D36D14" w:rsidRPr="003408B2" w:rsidRDefault="00D36D14" w:rsidP="00D36D14">
      <w:pPr>
        <w:spacing w:before="80" w:after="80" w:line="240" w:lineRule="auto"/>
        <w:jc w:val="both"/>
        <w:rPr>
          <w:sz w:val="24"/>
          <w:szCs w:val="24"/>
        </w:rPr>
      </w:pPr>
      <w:r w:rsidRPr="003408B2">
        <w:rPr>
          <w:b/>
          <w:bCs/>
          <w:sz w:val="24"/>
          <w:szCs w:val="24"/>
        </w:rPr>
        <w:t>Si parte dagli strumenti esistenti.</w:t>
      </w:r>
      <w:r w:rsidRPr="003408B2">
        <w:rPr>
          <w:sz w:val="24"/>
          <w:szCs w:val="24"/>
        </w:rPr>
        <w:t xml:space="preserve"> Gli interventi saranno in connessione e coordinati con le politiche e programmazioni già attuate dalla Regione. Dallo sviluppo sostenibile del sistema economico, sociale, della ricerca e del trasferimento tecnologico, alla promozione dell’alta formazione e delle politiche per il capitale umano fino alla promozione del lavoro di qualit</w:t>
      </w:r>
      <w:r w:rsidRPr="003408B2">
        <w:rPr>
          <w:rFonts w:hint="eastAsia"/>
          <w:sz w:val="24"/>
          <w:szCs w:val="24"/>
        </w:rPr>
        <w:t>à</w:t>
      </w:r>
      <w:r w:rsidRPr="003408B2">
        <w:rPr>
          <w:sz w:val="24"/>
          <w:szCs w:val="24"/>
        </w:rPr>
        <w:t>, nonché il raggiungimento della piena parit</w:t>
      </w:r>
      <w:r w:rsidRPr="003408B2">
        <w:rPr>
          <w:rFonts w:hint="eastAsia"/>
          <w:sz w:val="24"/>
          <w:szCs w:val="24"/>
        </w:rPr>
        <w:t>à</w:t>
      </w:r>
      <w:r w:rsidRPr="003408B2">
        <w:rPr>
          <w:sz w:val="24"/>
          <w:szCs w:val="24"/>
        </w:rPr>
        <w:t xml:space="preserve"> di genere e la lotta alle discriminazioni. </w:t>
      </w:r>
    </w:p>
    <w:p w14:paraId="7EDDC1AA" w14:textId="77777777" w:rsidR="00D36D14" w:rsidRPr="003408B2" w:rsidRDefault="00D36D14" w:rsidP="00D36D14">
      <w:pPr>
        <w:spacing w:before="80" w:after="80" w:line="240" w:lineRule="auto"/>
        <w:jc w:val="both"/>
        <w:rPr>
          <w:sz w:val="24"/>
          <w:szCs w:val="24"/>
        </w:rPr>
      </w:pPr>
      <w:r w:rsidRPr="003408B2">
        <w:rPr>
          <w:sz w:val="24"/>
          <w:szCs w:val="24"/>
        </w:rPr>
        <w:t xml:space="preserve">In particolare, interventi coerenti con </w:t>
      </w:r>
      <w:r w:rsidRPr="003408B2">
        <w:rPr>
          <w:b/>
          <w:bCs/>
          <w:sz w:val="24"/>
          <w:szCs w:val="24"/>
        </w:rPr>
        <w:t>Legge regionale 14 del 2014 relativa alla promozione all’attrazione degli investimenti</w:t>
      </w:r>
      <w:r w:rsidRPr="003408B2">
        <w:rPr>
          <w:sz w:val="24"/>
          <w:szCs w:val="24"/>
        </w:rPr>
        <w:t xml:space="preserve"> e l’internazionalizzazione del sistema produttivo.</w:t>
      </w:r>
    </w:p>
    <w:p w14:paraId="1C5B8761" w14:textId="77777777" w:rsidR="00D36D14" w:rsidRPr="003408B2" w:rsidRDefault="00D36D14" w:rsidP="00D36D14">
      <w:pPr>
        <w:spacing w:before="80" w:after="80" w:line="240" w:lineRule="auto"/>
        <w:jc w:val="both"/>
        <w:rPr>
          <w:b/>
          <w:bCs/>
          <w:sz w:val="24"/>
          <w:szCs w:val="24"/>
        </w:rPr>
      </w:pPr>
    </w:p>
    <w:p w14:paraId="7E654803" w14:textId="77777777" w:rsidR="00D36D14" w:rsidRPr="003408B2" w:rsidRDefault="00D36D14" w:rsidP="00D36D14">
      <w:pPr>
        <w:spacing w:before="80" w:after="80" w:line="240" w:lineRule="auto"/>
        <w:jc w:val="both"/>
        <w:rPr>
          <w:sz w:val="24"/>
          <w:szCs w:val="24"/>
        </w:rPr>
      </w:pPr>
      <w:r w:rsidRPr="003408B2">
        <w:rPr>
          <w:b/>
          <w:bCs/>
          <w:sz w:val="24"/>
          <w:szCs w:val="24"/>
        </w:rPr>
        <w:t>Un sostegno e impegno corale</w:t>
      </w:r>
      <w:r w:rsidRPr="003408B2">
        <w:rPr>
          <w:sz w:val="24"/>
          <w:szCs w:val="24"/>
        </w:rPr>
        <w:t>. L’attrazione di talenti a elevata specializzazione punta a un sostegno</w:t>
      </w:r>
      <w:r>
        <w:rPr>
          <w:sz w:val="24"/>
          <w:szCs w:val="24"/>
        </w:rPr>
        <w:t xml:space="preserve"> diffuso</w:t>
      </w:r>
      <w:r w:rsidRPr="003408B2">
        <w:rPr>
          <w:sz w:val="24"/>
          <w:szCs w:val="24"/>
        </w:rPr>
        <w:t xml:space="preserve"> allo sviluppo del sistema territoriale regionale attraverso accordi di collaborazione e di partenariato con altre regioni, nonché con istituzioni reti e network europei e internazionali. </w:t>
      </w:r>
      <w:r w:rsidRPr="003408B2">
        <w:rPr>
          <w:sz w:val="24"/>
          <w:szCs w:val="24"/>
        </w:rPr>
        <w:br/>
        <w:t>L’azione coinvolge pertanto regioni, citt</w:t>
      </w:r>
      <w:r w:rsidRPr="003408B2">
        <w:rPr>
          <w:rFonts w:hint="eastAsia"/>
          <w:sz w:val="24"/>
          <w:szCs w:val="24"/>
        </w:rPr>
        <w:t>à</w:t>
      </w:r>
      <w:r w:rsidRPr="003408B2">
        <w:rPr>
          <w:sz w:val="24"/>
          <w:szCs w:val="24"/>
        </w:rPr>
        <w:t xml:space="preserve"> ed enti locali, fondazioni, atenei, centri di ricerca, camere di commercio e altri enti pubblici e privati e promuove l’apertura internazionale dei territori da un lato, e la capacit</w:t>
      </w:r>
      <w:r w:rsidRPr="003408B2">
        <w:rPr>
          <w:rFonts w:hint="eastAsia"/>
          <w:sz w:val="24"/>
          <w:szCs w:val="24"/>
        </w:rPr>
        <w:t>à</w:t>
      </w:r>
      <w:r w:rsidRPr="003408B2">
        <w:rPr>
          <w:sz w:val="24"/>
          <w:szCs w:val="24"/>
        </w:rPr>
        <w:t xml:space="preserve"> dei servizi di erogare un’offerta di livello europeo e internazionale.</w:t>
      </w:r>
    </w:p>
    <w:p w14:paraId="0E8888A3" w14:textId="77777777" w:rsidR="00D36D14" w:rsidRPr="003408B2" w:rsidRDefault="00D36D14" w:rsidP="00D36D14">
      <w:pPr>
        <w:spacing w:before="80" w:after="80" w:line="240" w:lineRule="auto"/>
        <w:jc w:val="both"/>
        <w:rPr>
          <w:b/>
          <w:bCs/>
          <w:sz w:val="24"/>
          <w:szCs w:val="24"/>
        </w:rPr>
      </w:pPr>
    </w:p>
    <w:p w14:paraId="26EE9E46" w14:textId="77777777" w:rsidR="00D36D14" w:rsidRPr="003408B2" w:rsidRDefault="00D36D14" w:rsidP="00D36D14">
      <w:pPr>
        <w:spacing w:before="80" w:after="80" w:line="240" w:lineRule="auto"/>
        <w:jc w:val="both"/>
        <w:rPr>
          <w:sz w:val="24"/>
          <w:szCs w:val="24"/>
        </w:rPr>
      </w:pPr>
      <w:r w:rsidRPr="003408B2">
        <w:rPr>
          <w:b/>
          <w:bCs/>
          <w:sz w:val="24"/>
          <w:szCs w:val="24"/>
        </w:rPr>
        <w:t xml:space="preserve">I protagonisti. </w:t>
      </w:r>
      <w:r w:rsidRPr="003408B2">
        <w:rPr>
          <w:sz w:val="24"/>
          <w:szCs w:val="24"/>
        </w:rPr>
        <w:t xml:space="preserve">La promozione dei processi di attrazione dei talenti comprende il sostegno agli interventi portati avanti da </w:t>
      </w:r>
      <w:r w:rsidRPr="003408B2">
        <w:rPr>
          <w:b/>
          <w:bCs/>
          <w:sz w:val="24"/>
          <w:szCs w:val="24"/>
        </w:rPr>
        <w:t>Università</w:t>
      </w:r>
      <w:r w:rsidRPr="003408B2">
        <w:rPr>
          <w:sz w:val="24"/>
          <w:szCs w:val="24"/>
        </w:rPr>
        <w:t xml:space="preserve">, </w:t>
      </w:r>
      <w:r w:rsidRPr="00804A87">
        <w:rPr>
          <w:b/>
          <w:bCs/>
          <w:sz w:val="24"/>
          <w:szCs w:val="24"/>
        </w:rPr>
        <w:t>Centri di Ricerca</w:t>
      </w:r>
      <w:r w:rsidRPr="003408B2">
        <w:rPr>
          <w:sz w:val="24"/>
          <w:szCs w:val="24"/>
        </w:rPr>
        <w:t xml:space="preserve"> e altri protagonisti dell’ecosistema regionale dell’innovazione.</w:t>
      </w:r>
      <w:r>
        <w:rPr>
          <w:sz w:val="24"/>
          <w:szCs w:val="24"/>
        </w:rPr>
        <w:t xml:space="preserve"> </w:t>
      </w:r>
      <w:r w:rsidRPr="003408B2">
        <w:rPr>
          <w:sz w:val="24"/>
          <w:szCs w:val="24"/>
        </w:rPr>
        <w:t xml:space="preserve">Questo nell’offerta di assegni e dottorati di ricerca che prevedano percorsi di mobilità internazionale e di attrazione di talenti  a elevata specializzazione; nella partecipazione a iniziative direttamente promosse da enti europei per la ricerca o da programmi europei che consentano l’attrazione di ricercatori nel contesto regionale; nelle strategie di internazionalizzazione dell’offerta accademica, in particolare connessa con gli ambiti della Strategia Regionale di Specializzazione Intelligente, anche mediante particolari interventi quali il riconoscimento di doppi titoli universitari o di titoli già acquisiti all’estero. Quindi servizi per l’orientamento, l’accoglienza e la residenzialità dei talenti; servizi di accompagnamento al lavoro nel territorio regionale, anche facendo ricorso a servizi della rete europea </w:t>
      </w:r>
      <w:sdt>
        <w:sdtPr>
          <w:rPr>
            <w:sz w:val="24"/>
            <w:szCs w:val="24"/>
          </w:rPr>
          <w:tag w:val="goog_rdk_69"/>
          <w:id w:val="427783826"/>
        </w:sdtPr>
        <w:sdtContent>
          <w:proofErr w:type="spellStart"/>
          <w:r w:rsidRPr="003408B2">
            <w:rPr>
              <w:sz w:val="24"/>
              <w:szCs w:val="24"/>
            </w:rPr>
            <w:t>Euraxess</w:t>
          </w:r>
          <w:proofErr w:type="spellEnd"/>
        </w:sdtContent>
      </w:sdt>
      <w:r w:rsidRPr="003408B2">
        <w:rPr>
          <w:sz w:val="24"/>
          <w:szCs w:val="24"/>
        </w:rPr>
        <w:t xml:space="preserve">. </w:t>
      </w:r>
    </w:p>
    <w:p w14:paraId="2B3A9ABA" w14:textId="77777777" w:rsidR="00D36D14" w:rsidRPr="003408B2" w:rsidRDefault="00D36D14" w:rsidP="00D36D14">
      <w:pPr>
        <w:spacing w:before="80" w:after="80" w:line="240" w:lineRule="auto"/>
        <w:jc w:val="both"/>
        <w:rPr>
          <w:sz w:val="24"/>
          <w:szCs w:val="24"/>
        </w:rPr>
      </w:pPr>
    </w:p>
    <w:p w14:paraId="024EAD5D" w14:textId="77777777" w:rsidR="00D36D14" w:rsidRPr="003408B2" w:rsidRDefault="00D36D14" w:rsidP="00D36D14">
      <w:pPr>
        <w:spacing w:before="80" w:after="80" w:line="240" w:lineRule="auto"/>
        <w:jc w:val="both"/>
        <w:rPr>
          <w:sz w:val="24"/>
          <w:szCs w:val="24"/>
        </w:rPr>
      </w:pPr>
      <w:r w:rsidRPr="003408B2">
        <w:rPr>
          <w:b/>
          <w:bCs/>
          <w:sz w:val="24"/>
          <w:szCs w:val="24"/>
        </w:rPr>
        <w:t>Imprese.</w:t>
      </w:r>
      <w:r w:rsidRPr="003408B2">
        <w:rPr>
          <w:sz w:val="24"/>
          <w:szCs w:val="24"/>
        </w:rPr>
        <w:t xml:space="preserve"> Previsto il coinvolgimento diretto delle imprese e del sistema produttivo emiliano-romagnolo. Per questo si prevede l’elaborazione di un “</w:t>
      </w:r>
      <w:r w:rsidRPr="003408B2">
        <w:rPr>
          <w:b/>
          <w:bCs/>
          <w:sz w:val="24"/>
          <w:szCs w:val="24"/>
        </w:rPr>
        <w:t>Manifesto permanente”</w:t>
      </w:r>
      <w:r w:rsidRPr="003408B2">
        <w:rPr>
          <w:sz w:val="24"/>
          <w:szCs w:val="24"/>
        </w:rPr>
        <w:t xml:space="preserve"> che coinvolga imprese e filiere produttive. In base alle indicazioni che emergeranno, la Regione supporterà la ricerca e l’incontro di offerta e domanda di talenti mediante: sistemi informativi e digitali per l’anticipazione dei fabbisogni di competenze; servizi diretti per l’incrocio domanda e offerta di lavoro; partecipazione a programmi europei per la mobilit</w:t>
      </w:r>
      <w:r w:rsidRPr="003408B2">
        <w:rPr>
          <w:rFonts w:hint="eastAsia"/>
          <w:sz w:val="24"/>
          <w:szCs w:val="24"/>
        </w:rPr>
        <w:t>à</w:t>
      </w:r>
      <w:r w:rsidRPr="003408B2">
        <w:rPr>
          <w:sz w:val="24"/>
          <w:szCs w:val="24"/>
        </w:rPr>
        <w:t xml:space="preserve"> professionale e imprenditoriale.</w:t>
      </w:r>
      <w:r w:rsidRPr="003408B2">
        <w:rPr>
          <w:sz w:val="24"/>
          <w:szCs w:val="24"/>
        </w:rPr>
        <w:br/>
      </w:r>
    </w:p>
    <w:p w14:paraId="1F5D6975" w14:textId="77777777" w:rsidR="00D36D14" w:rsidRPr="003408B2" w:rsidRDefault="00D36D14" w:rsidP="00D36D14">
      <w:pPr>
        <w:spacing w:before="80" w:after="80" w:line="240" w:lineRule="auto"/>
        <w:jc w:val="both"/>
        <w:rPr>
          <w:sz w:val="24"/>
          <w:szCs w:val="24"/>
        </w:rPr>
      </w:pPr>
      <w:r w:rsidRPr="003408B2">
        <w:rPr>
          <w:sz w:val="24"/>
          <w:szCs w:val="24"/>
        </w:rPr>
        <w:t xml:space="preserve">La </w:t>
      </w:r>
      <w:r w:rsidRPr="003408B2">
        <w:rPr>
          <w:b/>
          <w:bCs/>
          <w:sz w:val="24"/>
          <w:szCs w:val="24"/>
        </w:rPr>
        <w:t xml:space="preserve">Regione </w:t>
      </w:r>
      <w:r w:rsidRPr="003408B2">
        <w:rPr>
          <w:sz w:val="24"/>
          <w:szCs w:val="24"/>
        </w:rPr>
        <w:t>prevede misure di</w:t>
      </w:r>
      <w:r w:rsidRPr="003408B2">
        <w:rPr>
          <w:b/>
          <w:bCs/>
          <w:sz w:val="24"/>
          <w:szCs w:val="24"/>
        </w:rPr>
        <w:t xml:space="preserve"> incentivazione alle assunzioni </w:t>
      </w:r>
      <w:r w:rsidRPr="003408B2">
        <w:rPr>
          <w:sz w:val="24"/>
          <w:szCs w:val="24"/>
        </w:rPr>
        <w:t xml:space="preserve">dei nuovi talenti. Ma anche il sostegno alla scoperta di </w:t>
      </w:r>
      <w:r w:rsidRPr="003408B2">
        <w:rPr>
          <w:b/>
          <w:bCs/>
          <w:sz w:val="24"/>
          <w:szCs w:val="24"/>
        </w:rPr>
        <w:t>nuove idee imprenditoriali, alla creazione, accelerazione e crescita di imprese innovative</w:t>
      </w:r>
      <w:r w:rsidRPr="003408B2">
        <w:rPr>
          <w:sz w:val="24"/>
          <w:szCs w:val="24"/>
        </w:rPr>
        <w:t xml:space="preserve">. </w:t>
      </w:r>
      <w:r w:rsidRPr="003408B2">
        <w:rPr>
          <w:sz w:val="24"/>
          <w:szCs w:val="24"/>
        </w:rPr>
        <w:br/>
        <w:t>Inoltre, il sostegno all’internazionalizzazione deve coinvolgere anche il sistema della formazione professionale, in coerenza con quanto richiesto dal nuovo accreditamento regionale degli enti di formazione, che proprio nell’apertura internazionale dei percorsi formativi indica una priorit</w:t>
      </w:r>
      <w:r w:rsidRPr="003408B2">
        <w:rPr>
          <w:rFonts w:hint="eastAsia"/>
          <w:sz w:val="24"/>
          <w:szCs w:val="24"/>
        </w:rPr>
        <w:t>à</w:t>
      </w:r>
      <w:r w:rsidRPr="003408B2">
        <w:rPr>
          <w:sz w:val="24"/>
          <w:szCs w:val="24"/>
        </w:rPr>
        <w:t>: per questo si punterà a una maggiore partecipazione a progetti del programma Erasmus Plus.</w:t>
      </w:r>
      <w:r w:rsidRPr="003408B2">
        <w:rPr>
          <w:sz w:val="24"/>
          <w:szCs w:val="24"/>
        </w:rPr>
        <w:br/>
      </w:r>
      <w:r w:rsidRPr="003408B2">
        <w:rPr>
          <w:sz w:val="24"/>
          <w:szCs w:val="24"/>
        </w:rPr>
        <w:lastRenderedPageBreak/>
        <w:t xml:space="preserve">In campo anche misure regionali di </w:t>
      </w:r>
      <w:r w:rsidRPr="003408B2">
        <w:rPr>
          <w:b/>
          <w:bCs/>
          <w:sz w:val="24"/>
          <w:szCs w:val="24"/>
        </w:rPr>
        <w:t>incentivazione allo sviluppo dei servizi di welfare</w:t>
      </w:r>
      <w:r w:rsidRPr="003408B2">
        <w:rPr>
          <w:sz w:val="24"/>
          <w:szCs w:val="24"/>
        </w:rPr>
        <w:t xml:space="preserve"> per l’accesso a servizi di </w:t>
      </w:r>
      <w:r w:rsidRPr="003408B2">
        <w:rPr>
          <w:b/>
          <w:bCs/>
          <w:sz w:val="24"/>
          <w:szCs w:val="24"/>
        </w:rPr>
        <w:t>conciliazione fra tempi di vita e di lavoro</w:t>
      </w:r>
      <w:r w:rsidRPr="003408B2">
        <w:rPr>
          <w:sz w:val="24"/>
          <w:szCs w:val="24"/>
        </w:rPr>
        <w:t xml:space="preserve"> a favore delle famiglie coinvolte.</w:t>
      </w:r>
    </w:p>
    <w:p w14:paraId="5DA36879" w14:textId="77777777" w:rsidR="00D36D14" w:rsidRPr="00D449D8" w:rsidRDefault="00D36D14" w:rsidP="00D36D14"/>
    <w:p w14:paraId="31B5A7B9" w14:textId="77777777" w:rsidR="00B46FC1" w:rsidRDefault="00B46FC1"/>
    <w:sectPr w:rsidR="00B46F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14"/>
    <w:rsid w:val="00B46FC1"/>
    <w:rsid w:val="00D36D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2A3D"/>
  <w15:chartTrackingRefBased/>
  <w15:docId w15:val="{765C5D09-8D39-46B8-A60B-DCD8B97F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6D1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3138</Characters>
  <Application>Microsoft Office Word</Application>
  <DocSecurity>0</DocSecurity>
  <Lines>48</Lines>
  <Paragraphs>17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Cavina Olga</dc:creator>
  <cp:keywords/>
  <dc:description/>
  <cp:lastModifiedBy>Cavina Olga</cp:lastModifiedBy>
  <cp:revision>1</cp:revision>
  <dcterms:created xsi:type="dcterms:W3CDTF">2023-02-14T12:54:00Z</dcterms:created>
  <dcterms:modified xsi:type="dcterms:W3CDTF">2023-02-14T12:55:00Z</dcterms:modified>
</cp:coreProperties>
</file>