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A2B7" w14:textId="76B4356F" w:rsidR="00DA0F2D" w:rsidRPr="005648C5" w:rsidRDefault="00DA0F2D" w:rsidP="005648C5">
      <w:pPr>
        <w:rPr>
          <w:rFonts w:cstheme="minorHAnsi"/>
          <w:b/>
          <w:bCs/>
          <w:color w:val="1C2024"/>
          <w:sz w:val="24"/>
          <w:szCs w:val="24"/>
        </w:rPr>
      </w:pPr>
      <w:r w:rsidRPr="005648C5">
        <w:rPr>
          <w:rFonts w:cstheme="minorHAnsi"/>
          <w:b/>
          <w:bCs/>
          <w:color w:val="1C2024"/>
          <w:sz w:val="24"/>
          <w:szCs w:val="24"/>
        </w:rPr>
        <w:t>ALLEGATO</w:t>
      </w:r>
    </w:p>
    <w:p w14:paraId="70BC160E" w14:textId="77777777" w:rsidR="00DA0F2D" w:rsidRPr="005648C5" w:rsidRDefault="00DA0F2D" w:rsidP="00DA0F2D">
      <w:pPr>
        <w:pStyle w:val="NormaleWeb"/>
        <w:shd w:val="clear" w:color="auto" w:fill="FFFFFF"/>
        <w:spacing w:before="0" w:beforeAutospacing="0" w:after="203" w:afterAutospacing="0"/>
        <w:jc w:val="both"/>
        <w:rPr>
          <w:rFonts w:asciiTheme="minorHAnsi" w:hAnsiTheme="minorHAnsi" w:cstheme="minorHAnsi"/>
          <w:color w:val="1C2024"/>
        </w:rPr>
      </w:pPr>
      <w:r w:rsidRPr="005648C5">
        <w:rPr>
          <w:rStyle w:val="Enfasigrassetto"/>
          <w:rFonts w:asciiTheme="minorHAnsi" w:hAnsiTheme="minorHAnsi" w:cstheme="minorHAnsi"/>
          <w:color w:val="1C2024"/>
        </w:rPr>
        <w:t>Il rapporto tra Emilia-Romagna e Nouvelle-Aquitaine</w:t>
      </w:r>
    </w:p>
    <w:p w14:paraId="7AA71CC1" w14:textId="77777777" w:rsidR="00DA0F2D" w:rsidRPr="005648C5" w:rsidRDefault="00DA0F2D" w:rsidP="00DA0F2D">
      <w:pPr>
        <w:pStyle w:val="NormaleWeb"/>
        <w:shd w:val="clear" w:color="auto" w:fill="FFFFFF"/>
        <w:spacing w:before="0" w:beforeAutospacing="0" w:after="203" w:afterAutospacing="0"/>
        <w:jc w:val="both"/>
        <w:rPr>
          <w:rFonts w:ascii="Titillium Web" w:hAnsi="Titillium Web"/>
          <w:color w:val="1C2024"/>
          <w:shd w:val="clear" w:color="auto" w:fill="FFFFFF"/>
        </w:rPr>
      </w:pPr>
      <w:r w:rsidRPr="005648C5">
        <w:rPr>
          <w:rFonts w:asciiTheme="minorHAnsi" w:hAnsiTheme="minorHAnsi" w:cstheme="minorHAnsi"/>
          <w:color w:val="1C2024"/>
        </w:rPr>
        <w:t xml:space="preserve">Quella tra Emilia-Romagna e </w:t>
      </w:r>
      <w:r w:rsidRPr="005648C5">
        <w:rPr>
          <w:rStyle w:val="Enfasigrassetto"/>
          <w:rFonts w:asciiTheme="minorHAnsi" w:hAnsiTheme="minorHAnsi" w:cstheme="minorHAnsi"/>
          <w:color w:val="1C2024"/>
        </w:rPr>
        <w:t>Nouvelle-Aquitaine</w:t>
      </w:r>
      <w:r w:rsidRPr="005648C5">
        <w:rPr>
          <w:rFonts w:asciiTheme="minorHAnsi" w:hAnsiTheme="minorHAnsi" w:cstheme="minorHAnsi"/>
          <w:color w:val="1C2024"/>
        </w:rPr>
        <w:t> è una collaborazione ormai storica. Nata nel 1999, ha poi coinvolto associazioni, università, comuni, scuole, fondazioni, istituzioni e centri di ricerca. Nel 2010 è stato sottoscritto un protocollo sulla collaborazione interregionale, poi rinnovato nel 2019. Nell’</w:t>
      </w:r>
      <w:r w:rsidRPr="005648C5">
        <w:rPr>
          <w:rFonts w:asciiTheme="minorHAnsi" w:hAnsiTheme="minorHAnsi" w:cstheme="minorHAnsi"/>
          <w:b/>
          <w:bCs/>
          <w:color w:val="1C2024"/>
        </w:rPr>
        <w:t xml:space="preserve">aprile 2022 </w:t>
      </w:r>
      <w:r w:rsidRPr="005648C5">
        <w:rPr>
          <w:rFonts w:asciiTheme="minorHAnsi" w:hAnsiTheme="minorHAnsi" w:cstheme="minorHAnsi"/>
          <w:color w:val="1C2024"/>
        </w:rPr>
        <w:t xml:space="preserve">è stato firmato un </w:t>
      </w:r>
      <w:r w:rsidRPr="005648C5">
        <w:rPr>
          <w:rFonts w:asciiTheme="minorHAnsi" w:hAnsiTheme="minorHAnsi" w:cstheme="minorHAnsi"/>
          <w:b/>
          <w:bCs/>
          <w:color w:val="1C2024"/>
        </w:rPr>
        <w:t>nuovo accordo</w:t>
      </w:r>
      <w:r w:rsidRPr="005648C5">
        <w:rPr>
          <w:rFonts w:asciiTheme="minorHAnsi" w:hAnsiTheme="minorHAnsi" w:cstheme="minorHAnsi"/>
          <w:color w:val="1C2024"/>
        </w:rPr>
        <w:t xml:space="preserve"> che ha come temi giovani, istruzione superiore e ricerca, economia innovativa e nuove tecnologie, agroalimentare, cultura e cittadinanza, salute e politiche sociali, transizione ecologica ed energetica, sviluppo e solidarietà internazionale.</w:t>
      </w:r>
      <w:r w:rsidRPr="005648C5">
        <w:rPr>
          <w:rFonts w:ascii="Titillium Web" w:hAnsi="Titillium Web"/>
          <w:color w:val="1C2024"/>
          <w:shd w:val="clear" w:color="auto" w:fill="FFFFFF"/>
        </w:rPr>
        <w:t> </w:t>
      </w:r>
    </w:p>
    <w:p w14:paraId="71CC81BB" w14:textId="2224990D" w:rsidR="004F6744" w:rsidRPr="005648C5" w:rsidRDefault="004F6744" w:rsidP="00DA0F2D">
      <w:pPr>
        <w:pStyle w:val="NormaleWeb"/>
        <w:shd w:val="clear" w:color="auto" w:fill="FFFFFF"/>
        <w:spacing w:before="0" w:beforeAutospacing="0" w:after="203" w:afterAutospacing="0"/>
        <w:jc w:val="both"/>
        <w:rPr>
          <w:rFonts w:asciiTheme="minorHAnsi" w:hAnsiTheme="minorHAnsi" w:cstheme="minorHAnsi"/>
          <w:color w:val="1C2024"/>
        </w:rPr>
      </w:pPr>
      <w:r w:rsidRPr="005648C5">
        <w:rPr>
          <w:rFonts w:asciiTheme="minorHAnsi" w:hAnsiTheme="minorHAnsi" w:cstheme="minorHAnsi"/>
          <w:color w:val="1C2024"/>
        </w:rPr>
        <w:t xml:space="preserve">La Nouvelle-Aquitaine ha stabilito </w:t>
      </w:r>
      <w:r w:rsidRPr="005648C5">
        <w:rPr>
          <w:rFonts w:asciiTheme="minorHAnsi" w:hAnsiTheme="minorHAnsi" w:cstheme="minorHAnsi"/>
          <w:b/>
          <w:bCs/>
          <w:color w:val="1C2024"/>
        </w:rPr>
        <w:t xml:space="preserve">accordi quadro di cooperazione con </w:t>
      </w:r>
      <w:proofErr w:type="gramStart"/>
      <w:r w:rsidRPr="005648C5">
        <w:rPr>
          <w:rFonts w:asciiTheme="minorHAnsi" w:hAnsiTheme="minorHAnsi" w:cstheme="minorHAnsi"/>
          <w:b/>
          <w:bCs/>
          <w:color w:val="1C2024"/>
        </w:rPr>
        <w:t>5</w:t>
      </w:r>
      <w:proofErr w:type="gramEnd"/>
      <w:r w:rsidRPr="005648C5">
        <w:rPr>
          <w:rFonts w:asciiTheme="minorHAnsi" w:hAnsiTheme="minorHAnsi" w:cstheme="minorHAnsi"/>
          <w:b/>
          <w:bCs/>
          <w:color w:val="1C2024"/>
        </w:rPr>
        <w:t xml:space="preserve"> Regioni europee</w:t>
      </w:r>
      <w:r w:rsidRPr="005648C5">
        <w:rPr>
          <w:rFonts w:asciiTheme="minorHAnsi" w:hAnsiTheme="minorHAnsi" w:cstheme="minorHAnsi"/>
          <w:color w:val="1C2024"/>
        </w:rPr>
        <w:t>: l’Aragona in Spagna, l’Emilia-Romagna in Italia, la Regione del Galati in Romania, il Land Assia e il Distretto della Franconia centrale in Germania.</w:t>
      </w:r>
    </w:p>
    <w:p w14:paraId="78071A1C" w14:textId="14138EFE" w:rsidR="00DA0F2D" w:rsidRPr="005648C5" w:rsidRDefault="00DA0F2D" w:rsidP="00DA0F2D">
      <w:pPr>
        <w:pStyle w:val="NormaleWeb"/>
        <w:shd w:val="clear" w:color="auto" w:fill="FFFFFF"/>
        <w:spacing w:before="0" w:beforeAutospacing="0" w:after="203" w:afterAutospacing="0"/>
        <w:jc w:val="both"/>
        <w:rPr>
          <w:rFonts w:asciiTheme="minorHAnsi" w:hAnsiTheme="minorHAnsi" w:cstheme="minorHAnsi"/>
          <w:color w:val="1C2024"/>
        </w:rPr>
      </w:pPr>
      <w:r w:rsidRPr="005648C5">
        <w:rPr>
          <w:rFonts w:asciiTheme="minorHAnsi" w:hAnsiTheme="minorHAnsi" w:cstheme="minorHAnsi"/>
          <w:color w:val="1C2024"/>
        </w:rPr>
        <w:t xml:space="preserve">La </w:t>
      </w:r>
      <w:r w:rsidRPr="005648C5">
        <w:rPr>
          <w:rStyle w:val="Enfasigrassetto"/>
          <w:rFonts w:asciiTheme="minorHAnsi" w:hAnsiTheme="minorHAnsi" w:cstheme="minorHAnsi"/>
          <w:color w:val="1C2024"/>
        </w:rPr>
        <w:t>Nouvelle-Aquitaine</w:t>
      </w:r>
      <w:r w:rsidRPr="005648C5">
        <w:rPr>
          <w:rFonts w:asciiTheme="minorHAnsi" w:hAnsiTheme="minorHAnsi" w:cstheme="minorHAnsi"/>
          <w:color w:val="1C2024"/>
        </w:rPr>
        <w:t xml:space="preserve"> è la più grande delle regioni francesi, nata nel 2016 dalla riforma territoriale che ha portato alla fusione di Aquitania, Limosino e Poitou-Charentes. </w:t>
      </w:r>
      <w:r w:rsidR="002D72A0" w:rsidRPr="005648C5">
        <w:rPr>
          <w:rFonts w:asciiTheme="minorHAnsi" w:hAnsiTheme="minorHAnsi" w:cstheme="minorHAnsi"/>
          <w:color w:val="1C2024"/>
        </w:rPr>
        <w:t>É</w:t>
      </w:r>
      <w:r w:rsidRPr="005648C5">
        <w:rPr>
          <w:rFonts w:asciiTheme="minorHAnsi" w:hAnsiTheme="minorHAnsi" w:cstheme="minorHAnsi"/>
          <w:color w:val="1C2024"/>
        </w:rPr>
        <w:t xml:space="preserve"> il </w:t>
      </w:r>
      <w:r w:rsidRPr="005648C5">
        <w:rPr>
          <w:rFonts w:asciiTheme="minorHAnsi" w:hAnsiTheme="minorHAnsi" w:cstheme="minorHAnsi"/>
          <w:b/>
          <w:bCs/>
          <w:color w:val="1C2024"/>
        </w:rPr>
        <w:t>quarto territorio francese più popolato</w:t>
      </w:r>
      <w:r w:rsidRPr="005648C5">
        <w:rPr>
          <w:rFonts w:asciiTheme="minorHAnsi" w:hAnsiTheme="minorHAnsi" w:cstheme="minorHAnsi"/>
          <w:color w:val="1C2024"/>
        </w:rPr>
        <w:t xml:space="preserve">, con </w:t>
      </w:r>
      <w:r w:rsidR="002D72A0" w:rsidRPr="005648C5">
        <w:rPr>
          <w:rFonts w:asciiTheme="minorHAnsi" w:hAnsiTheme="minorHAnsi" w:cstheme="minorHAnsi"/>
          <w:color w:val="1C2024"/>
        </w:rPr>
        <w:t xml:space="preserve">oltre </w:t>
      </w:r>
      <w:proofErr w:type="gramStart"/>
      <w:r w:rsidR="002D72A0" w:rsidRPr="005648C5">
        <w:rPr>
          <w:rFonts w:asciiTheme="minorHAnsi" w:hAnsiTheme="minorHAnsi" w:cstheme="minorHAnsi"/>
          <w:color w:val="1C2024"/>
        </w:rPr>
        <w:t>6</w:t>
      </w:r>
      <w:proofErr w:type="gramEnd"/>
      <w:r w:rsidRPr="005648C5">
        <w:rPr>
          <w:rFonts w:asciiTheme="minorHAnsi" w:hAnsiTheme="minorHAnsi" w:cstheme="minorHAnsi"/>
          <w:color w:val="1C2024"/>
        </w:rPr>
        <w:t xml:space="preserve"> milioni di abitanti.</w:t>
      </w:r>
    </w:p>
    <w:p w14:paraId="3105340D" w14:textId="4D6161EA" w:rsidR="00B12B4B" w:rsidRPr="005648C5" w:rsidRDefault="00B12B4B" w:rsidP="00DA0F2D">
      <w:pPr>
        <w:pStyle w:val="NormaleWeb"/>
        <w:shd w:val="clear" w:color="auto" w:fill="FFFFFF"/>
        <w:spacing w:before="0" w:beforeAutospacing="0" w:after="203" w:afterAutospacing="0"/>
        <w:jc w:val="both"/>
        <w:rPr>
          <w:rFonts w:asciiTheme="minorHAnsi" w:hAnsiTheme="minorHAnsi" w:cstheme="minorHAnsi"/>
          <w:color w:val="1C2024"/>
        </w:rPr>
      </w:pPr>
      <w:r w:rsidRPr="005648C5">
        <w:rPr>
          <w:rFonts w:asciiTheme="minorHAnsi" w:hAnsiTheme="minorHAnsi" w:cstheme="minorHAnsi"/>
        </w:rPr>
        <w:t>Dopo due anni di crisi sanitaria, la Regione Nouvelle-Aquitaine continua a investire a livelli record. Per il 2023 saranno mobilitat</w:t>
      </w:r>
      <w:r w:rsidRPr="005648C5">
        <w:rPr>
          <w:rFonts w:asciiTheme="minorHAnsi" w:hAnsiTheme="minorHAnsi" w:cstheme="minorHAnsi"/>
          <w:b/>
          <w:bCs/>
        </w:rPr>
        <w:t xml:space="preserve">i 3,5 miliardi </w:t>
      </w:r>
      <w:r w:rsidRPr="005648C5">
        <w:rPr>
          <w:rFonts w:asciiTheme="minorHAnsi" w:hAnsiTheme="minorHAnsi" w:cstheme="minorHAnsi"/>
        </w:rPr>
        <w:t>di euro per far fronte alle sfide dell'inflazione e della crisi energetica.</w:t>
      </w:r>
    </w:p>
    <w:p w14:paraId="1173DC0C" w14:textId="2BF63E54" w:rsidR="00CA0525" w:rsidRPr="005648C5" w:rsidRDefault="00DA0F2D" w:rsidP="00DA0F2D">
      <w:pPr>
        <w:pStyle w:val="NormaleWeb"/>
        <w:shd w:val="clear" w:color="auto" w:fill="FFFFFF"/>
        <w:spacing w:before="0" w:beforeAutospacing="0" w:after="203" w:afterAutospacing="0"/>
        <w:jc w:val="both"/>
        <w:rPr>
          <w:rFonts w:asciiTheme="minorHAnsi" w:hAnsiTheme="minorHAnsi" w:cstheme="minorHAnsi"/>
        </w:rPr>
      </w:pPr>
      <w:r w:rsidRPr="005648C5">
        <w:rPr>
          <w:rFonts w:asciiTheme="minorHAnsi" w:hAnsiTheme="minorHAnsi" w:cstheme="minorHAnsi"/>
          <w:color w:val="1C2024"/>
        </w:rPr>
        <w:t>Il capoluogo </w:t>
      </w:r>
      <w:r w:rsidRPr="005648C5">
        <w:rPr>
          <w:rStyle w:val="Enfasigrassetto"/>
          <w:rFonts w:asciiTheme="minorHAnsi" w:hAnsiTheme="minorHAnsi" w:cstheme="minorHAnsi"/>
          <w:color w:val="1C2024"/>
        </w:rPr>
        <w:t>Bordeaux</w:t>
      </w:r>
      <w:r w:rsidRPr="005648C5">
        <w:rPr>
          <w:rFonts w:asciiTheme="minorHAnsi" w:hAnsiTheme="minorHAnsi" w:cstheme="minorHAnsi"/>
          <w:color w:val="1C2024"/>
        </w:rPr>
        <w:t>, patrimonio Unesco, è chiamato anche la città del vino, per non parlare del famoso liquore </w:t>
      </w:r>
      <w:r w:rsidRPr="005648C5">
        <w:rPr>
          <w:rStyle w:val="Enfasigrassetto"/>
          <w:rFonts w:asciiTheme="minorHAnsi" w:hAnsiTheme="minorHAnsi" w:cstheme="minorHAnsi"/>
          <w:color w:val="1C2024"/>
        </w:rPr>
        <w:t>Cognac</w:t>
      </w:r>
      <w:r w:rsidRPr="005648C5">
        <w:rPr>
          <w:rFonts w:asciiTheme="minorHAnsi" w:hAnsiTheme="minorHAnsi" w:cstheme="minorHAnsi"/>
          <w:color w:val="1C2024"/>
        </w:rPr>
        <w:t> che porta il nome di una cittadina della </w:t>
      </w:r>
      <w:r w:rsidRPr="005648C5">
        <w:rPr>
          <w:rStyle w:val="Enfasigrassetto"/>
          <w:rFonts w:asciiTheme="minorHAnsi" w:hAnsiTheme="minorHAnsi" w:cstheme="minorHAnsi"/>
          <w:color w:val="1C2024"/>
        </w:rPr>
        <w:t>Dordogna</w:t>
      </w:r>
      <w:r w:rsidRPr="005648C5">
        <w:rPr>
          <w:rFonts w:asciiTheme="minorHAnsi" w:hAnsiTheme="minorHAnsi" w:cstheme="minorHAnsi"/>
          <w:color w:val="1C2024"/>
        </w:rPr>
        <w:t>. L’area è nota anche per gli allevamenti di ostriche, il formaggio di capra, il prosciutto di</w:t>
      </w:r>
      <w:r w:rsidRPr="005648C5">
        <w:rPr>
          <w:rStyle w:val="Enfasigrassetto"/>
          <w:rFonts w:asciiTheme="minorHAnsi" w:hAnsiTheme="minorHAnsi" w:cstheme="minorHAnsi"/>
          <w:color w:val="1C2024"/>
        </w:rPr>
        <w:t> Bayonne</w:t>
      </w:r>
      <w:r w:rsidRPr="005648C5">
        <w:rPr>
          <w:rFonts w:asciiTheme="minorHAnsi" w:hAnsiTheme="minorHAnsi" w:cstheme="minorHAnsi"/>
          <w:color w:val="1C2024"/>
        </w:rPr>
        <w:t>. </w:t>
      </w:r>
      <w:r w:rsidRPr="005648C5">
        <w:rPr>
          <w:rStyle w:val="Enfasigrassetto"/>
          <w:rFonts w:asciiTheme="minorHAnsi" w:hAnsiTheme="minorHAnsi" w:cstheme="minorHAnsi"/>
          <w:color w:val="1C2024"/>
        </w:rPr>
        <w:t>Limoges </w:t>
      </w:r>
      <w:r w:rsidRPr="005648C5">
        <w:rPr>
          <w:rFonts w:asciiTheme="minorHAnsi" w:hAnsiTheme="minorHAnsi" w:cstheme="minorHAnsi"/>
          <w:color w:val="1C2024"/>
        </w:rPr>
        <w:t xml:space="preserve">è famosa per la sua porcellana ma la regione, come l’Emilia-Romagna, guarda anche alle nuove frontiere dell’informatica e dello sviluppo sostenibile. Inoltre, condivide la stessa sede a Bruxelles con Emilia-Romagna, Assia (Germania) e </w:t>
      </w:r>
      <w:proofErr w:type="spellStart"/>
      <w:r w:rsidRPr="005648C5">
        <w:rPr>
          <w:rFonts w:asciiTheme="minorHAnsi" w:hAnsiTheme="minorHAnsi" w:cstheme="minorHAnsi"/>
          <w:color w:val="1C2024"/>
        </w:rPr>
        <w:t>Wielkopolska</w:t>
      </w:r>
      <w:proofErr w:type="spellEnd"/>
      <w:r w:rsidRPr="005648C5">
        <w:rPr>
          <w:rFonts w:asciiTheme="minorHAnsi" w:hAnsiTheme="minorHAnsi" w:cstheme="minorHAnsi"/>
          <w:color w:val="1C2024"/>
        </w:rPr>
        <w:t xml:space="preserve"> (Polonia</w:t>
      </w:r>
      <w:r w:rsidR="00CA0525" w:rsidRPr="005648C5">
        <w:rPr>
          <w:rFonts w:asciiTheme="minorHAnsi" w:hAnsiTheme="minorHAnsi" w:cstheme="minorHAnsi"/>
          <w:color w:val="1C2024"/>
        </w:rPr>
        <w:t>): questo permette loro di promuovere iniziative congiunte e avere strategie comuni nei confronti dell’Unione europea.</w:t>
      </w:r>
      <w:r w:rsidR="00BB1C2A" w:rsidRPr="005648C5">
        <w:rPr>
          <w:rFonts w:asciiTheme="minorHAnsi" w:hAnsiTheme="minorHAnsi" w:cstheme="minorHAnsi"/>
          <w:color w:val="1C2024"/>
        </w:rPr>
        <w:t xml:space="preserve"> </w:t>
      </w:r>
      <w:r w:rsidR="00BB1C2A" w:rsidRPr="005648C5">
        <w:rPr>
          <w:rFonts w:asciiTheme="minorHAnsi" w:hAnsiTheme="minorHAnsi" w:cstheme="minorHAnsi"/>
        </w:rPr>
        <w:t xml:space="preserve">Per quanto riguarda "Next generation EU" del valore complessivo di 750 miliardi di euro, di cui 40 miliardi per la Francia, </w:t>
      </w:r>
      <w:r w:rsidR="00BB1C2A" w:rsidRPr="005648C5">
        <w:rPr>
          <w:rFonts w:asciiTheme="minorHAnsi" w:hAnsiTheme="minorHAnsi" w:cstheme="minorHAnsi"/>
          <w:b/>
          <w:bCs/>
        </w:rPr>
        <w:t>la Nouvelle-Aquitaine fa parte della coalizione "Regions4EUrecovery" con diverse regioni, tra cui l'Emilia-Romagna</w:t>
      </w:r>
      <w:r w:rsidR="00BB1C2A" w:rsidRPr="005648C5">
        <w:rPr>
          <w:rFonts w:asciiTheme="minorHAnsi" w:hAnsiTheme="minorHAnsi" w:cstheme="minorHAnsi"/>
        </w:rPr>
        <w:t>. La coalizione mira a rappresentare il punto di vista dei territori nello sviluppo e nell'attuazione dei piani nazionali di ripresa e resilienza.</w:t>
      </w:r>
    </w:p>
    <w:p w14:paraId="2BADA99F" w14:textId="081503E4" w:rsidR="005D6790" w:rsidRPr="005648C5" w:rsidRDefault="005D6790" w:rsidP="00DA0F2D">
      <w:pPr>
        <w:pStyle w:val="NormaleWeb"/>
        <w:shd w:val="clear" w:color="auto" w:fill="FFFFFF"/>
        <w:spacing w:before="0" w:beforeAutospacing="0" w:after="203" w:afterAutospacing="0"/>
        <w:jc w:val="both"/>
        <w:rPr>
          <w:rFonts w:asciiTheme="minorHAnsi" w:hAnsiTheme="minorHAnsi" w:cstheme="minorHAnsi"/>
          <w:color w:val="1C2024"/>
        </w:rPr>
      </w:pPr>
      <w:r w:rsidRPr="005648C5">
        <w:rPr>
          <w:rFonts w:asciiTheme="minorHAnsi" w:hAnsiTheme="minorHAnsi" w:cstheme="minorHAnsi"/>
        </w:rPr>
        <w:t xml:space="preserve">La Regione Nouvelle-Aquitaine </w:t>
      </w:r>
      <w:r w:rsidRPr="005648C5">
        <w:rPr>
          <w:rFonts w:asciiTheme="minorHAnsi" w:hAnsiTheme="minorHAnsi" w:cstheme="minorHAnsi"/>
          <w:b/>
          <w:bCs/>
        </w:rPr>
        <w:t xml:space="preserve">ha donato 100.000 euro al comune di Pieve di Cento per il restauro del Teatro </w:t>
      </w:r>
      <w:proofErr w:type="spellStart"/>
      <w:r w:rsidRPr="005648C5">
        <w:rPr>
          <w:rFonts w:asciiTheme="minorHAnsi" w:hAnsiTheme="minorHAnsi" w:cstheme="minorHAnsi"/>
          <w:b/>
          <w:bCs/>
        </w:rPr>
        <w:t>Zeppili</w:t>
      </w:r>
      <w:proofErr w:type="spellEnd"/>
      <w:r w:rsidRPr="005648C5">
        <w:rPr>
          <w:rFonts w:asciiTheme="minorHAnsi" w:hAnsiTheme="minorHAnsi" w:cstheme="minorHAnsi"/>
          <w:b/>
          <w:bCs/>
        </w:rPr>
        <w:t>, danneggiato dal terremoto del maggio 2012</w:t>
      </w:r>
      <w:r w:rsidRPr="005648C5">
        <w:rPr>
          <w:rFonts w:asciiTheme="minorHAnsi" w:hAnsiTheme="minorHAnsi" w:cstheme="minorHAnsi"/>
        </w:rPr>
        <w:t xml:space="preserve">. </w:t>
      </w:r>
      <w:r w:rsidRPr="005648C5">
        <w:rPr>
          <w:rFonts w:asciiTheme="minorHAnsi" w:hAnsiTheme="minorHAnsi" w:cstheme="minorHAnsi"/>
          <w:b/>
          <w:bCs/>
        </w:rPr>
        <w:t>Circa 50</w:t>
      </w:r>
      <w:r w:rsidR="00CA0525" w:rsidRPr="005648C5">
        <w:rPr>
          <w:rFonts w:asciiTheme="minorHAnsi" w:hAnsiTheme="minorHAnsi" w:cstheme="minorHAnsi"/>
          <w:b/>
          <w:bCs/>
        </w:rPr>
        <w:t>.</w:t>
      </w:r>
      <w:r w:rsidRPr="005648C5">
        <w:rPr>
          <w:rFonts w:asciiTheme="minorHAnsi" w:hAnsiTheme="minorHAnsi" w:cstheme="minorHAnsi"/>
          <w:b/>
          <w:bCs/>
        </w:rPr>
        <w:t xml:space="preserve">000 </w:t>
      </w:r>
      <w:r w:rsidRPr="005648C5">
        <w:rPr>
          <w:rFonts w:asciiTheme="minorHAnsi" w:hAnsiTheme="minorHAnsi" w:cstheme="minorHAnsi"/>
        </w:rPr>
        <w:t>euro (una raccolta fondi fatta in Nouvelle-Aquitaine) sono stati donati per il rifacimento di una scuola nell’area di Modena.</w:t>
      </w:r>
    </w:p>
    <w:p w14:paraId="4D83CBCF" w14:textId="77777777" w:rsidR="00DA0F2D" w:rsidRPr="005648C5" w:rsidRDefault="00DA0F2D" w:rsidP="00DA0F2D">
      <w:pPr>
        <w:pStyle w:val="NormaleWeb"/>
        <w:shd w:val="clear" w:color="auto" w:fill="FFFFFF"/>
        <w:spacing w:before="0" w:beforeAutospacing="0" w:after="203" w:afterAutospacing="0"/>
        <w:jc w:val="both"/>
        <w:rPr>
          <w:rFonts w:asciiTheme="minorHAnsi" w:hAnsiTheme="minorHAnsi" w:cstheme="minorHAnsi"/>
          <w:b/>
          <w:bCs/>
          <w:color w:val="1C2024"/>
        </w:rPr>
      </w:pPr>
      <w:r w:rsidRPr="005648C5">
        <w:rPr>
          <w:rFonts w:asciiTheme="minorHAnsi" w:hAnsiTheme="minorHAnsi" w:cstheme="minorHAnsi"/>
          <w:b/>
          <w:bCs/>
          <w:color w:val="1C2024"/>
        </w:rPr>
        <w:t>I progetti di innovazione digitale della Nouvelle-Aquitaine</w:t>
      </w:r>
    </w:p>
    <w:p w14:paraId="542EAAC6" w14:textId="77777777" w:rsidR="00DA0F2D" w:rsidRPr="005648C5" w:rsidRDefault="00DA0F2D" w:rsidP="00DA0F2D">
      <w:pPr>
        <w:pStyle w:val="Default"/>
        <w:jc w:val="both"/>
        <w:rPr>
          <w:rFonts w:asciiTheme="minorHAnsi" w:hAnsiTheme="minorHAnsi" w:cstheme="minorHAnsi"/>
        </w:rPr>
      </w:pPr>
      <w:r w:rsidRPr="005648C5">
        <w:rPr>
          <w:rFonts w:asciiTheme="minorHAnsi" w:hAnsiTheme="minorHAnsi" w:cstheme="minorHAnsi"/>
        </w:rPr>
        <w:t xml:space="preserve">La Regione Nouvelle-Aquitaine partecipa al progetto europeo Digital </w:t>
      </w:r>
      <w:proofErr w:type="spellStart"/>
      <w:r w:rsidRPr="005648C5">
        <w:rPr>
          <w:rFonts w:asciiTheme="minorHAnsi" w:hAnsiTheme="minorHAnsi" w:cstheme="minorHAnsi"/>
          <w:b/>
          <w:bCs/>
        </w:rPr>
        <w:t>Transformation</w:t>
      </w:r>
      <w:proofErr w:type="spellEnd"/>
      <w:r w:rsidRPr="005648C5">
        <w:rPr>
          <w:rFonts w:asciiTheme="minorHAnsi" w:hAnsiTheme="minorHAnsi" w:cstheme="minorHAnsi"/>
          <w:b/>
          <w:bCs/>
        </w:rPr>
        <w:t xml:space="preserve"> For </w:t>
      </w:r>
      <w:proofErr w:type="spellStart"/>
      <w:r w:rsidRPr="005648C5">
        <w:rPr>
          <w:rFonts w:asciiTheme="minorHAnsi" w:hAnsiTheme="minorHAnsi" w:cstheme="minorHAnsi"/>
          <w:b/>
          <w:bCs/>
        </w:rPr>
        <w:t>Regions</w:t>
      </w:r>
      <w:proofErr w:type="spellEnd"/>
      <w:r w:rsidRPr="005648C5">
        <w:rPr>
          <w:rFonts w:asciiTheme="minorHAnsi" w:hAnsiTheme="minorHAnsi" w:cstheme="minorHAnsi"/>
          <w:b/>
          <w:bCs/>
        </w:rPr>
        <w:t xml:space="preserve"> "DT4 </w:t>
      </w:r>
      <w:proofErr w:type="spellStart"/>
      <w:r w:rsidRPr="005648C5">
        <w:rPr>
          <w:rFonts w:asciiTheme="minorHAnsi" w:hAnsiTheme="minorHAnsi" w:cstheme="minorHAnsi"/>
          <w:b/>
          <w:bCs/>
        </w:rPr>
        <w:t>Regions</w:t>
      </w:r>
      <w:proofErr w:type="spellEnd"/>
      <w:r w:rsidRPr="005648C5">
        <w:rPr>
          <w:rFonts w:asciiTheme="minorHAnsi" w:hAnsiTheme="minorHAnsi" w:cstheme="minorHAnsi"/>
          <w:b/>
          <w:bCs/>
        </w:rPr>
        <w:t xml:space="preserve">" </w:t>
      </w:r>
      <w:r w:rsidRPr="005648C5">
        <w:rPr>
          <w:rFonts w:asciiTheme="minorHAnsi" w:hAnsiTheme="minorHAnsi" w:cstheme="minorHAnsi"/>
        </w:rPr>
        <w:t xml:space="preserve">guidato dalla Regione Emilia-Romagna. L'obiettivo è quello di creare una piattaforma europea per facilitare l'integrazione di soluzioni nel campo dell'Intelligenza Artificiale e dei Big Data a beneficio delle politiche pubbliche territoriali. </w:t>
      </w:r>
    </w:p>
    <w:p w14:paraId="1D5A6152" w14:textId="77777777" w:rsidR="00DA0F2D" w:rsidRPr="005648C5" w:rsidRDefault="00DA0F2D" w:rsidP="00DA0F2D">
      <w:pPr>
        <w:pStyle w:val="Default"/>
        <w:jc w:val="both"/>
        <w:rPr>
          <w:rFonts w:asciiTheme="minorHAnsi" w:hAnsiTheme="minorHAnsi" w:cstheme="minorHAnsi"/>
        </w:rPr>
      </w:pPr>
      <w:r w:rsidRPr="005648C5">
        <w:rPr>
          <w:rFonts w:asciiTheme="minorHAnsi" w:hAnsiTheme="minorHAnsi" w:cstheme="minorHAnsi"/>
        </w:rPr>
        <w:t xml:space="preserve">Una delegazione emiliano-romagnola, guidata dall’assessora alla Scuola, università, ricerca, agenda digitale, </w:t>
      </w:r>
      <w:r w:rsidRPr="005648C5">
        <w:rPr>
          <w:rFonts w:asciiTheme="minorHAnsi" w:hAnsiTheme="minorHAnsi" w:cstheme="minorHAnsi"/>
          <w:b/>
          <w:bCs/>
        </w:rPr>
        <w:t xml:space="preserve">Paola Salomoni, </w:t>
      </w:r>
      <w:r w:rsidRPr="005648C5">
        <w:rPr>
          <w:rFonts w:asciiTheme="minorHAnsi" w:hAnsiTheme="minorHAnsi" w:cstheme="minorHAnsi"/>
        </w:rPr>
        <w:t xml:space="preserve">ha partecipato a Bordeaux al forum NAIA-R nel dicembre 2021. Sono stati identificati settori di collaborazione nel campo </w:t>
      </w:r>
      <w:r w:rsidRPr="005648C5">
        <w:rPr>
          <w:rFonts w:asciiTheme="minorHAnsi" w:hAnsiTheme="minorHAnsi" w:cstheme="minorHAnsi"/>
          <w:b/>
          <w:bCs/>
        </w:rPr>
        <w:t xml:space="preserve">dell’Internet of </w:t>
      </w:r>
      <w:proofErr w:type="spellStart"/>
      <w:r w:rsidRPr="005648C5">
        <w:rPr>
          <w:rFonts w:asciiTheme="minorHAnsi" w:hAnsiTheme="minorHAnsi" w:cstheme="minorHAnsi"/>
          <w:b/>
          <w:bCs/>
        </w:rPr>
        <w:t>things</w:t>
      </w:r>
      <w:proofErr w:type="spellEnd"/>
      <w:r w:rsidRPr="005648C5">
        <w:rPr>
          <w:rFonts w:asciiTheme="minorHAnsi" w:hAnsiTheme="minorHAnsi" w:cstheme="minorHAnsi"/>
          <w:b/>
          <w:bCs/>
        </w:rPr>
        <w:t>, degli hub digitali</w:t>
      </w:r>
      <w:r w:rsidRPr="005648C5">
        <w:rPr>
          <w:rFonts w:asciiTheme="minorHAnsi" w:hAnsiTheme="minorHAnsi" w:cstheme="minorHAnsi"/>
        </w:rPr>
        <w:t xml:space="preserve">, </w:t>
      </w:r>
      <w:r w:rsidRPr="005648C5">
        <w:rPr>
          <w:rFonts w:asciiTheme="minorHAnsi" w:hAnsiTheme="minorHAnsi" w:cstheme="minorHAnsi"/>
          <w:b/>
          <w:bCs/>
        </w:rPr>
        <w:t xml:space="preserve">della ricerca e dell'innovazione </w:t>
      </w:r>
      <w:r w:rsidRPr="005648C5">
        <w:rPr>
          <w:rFonts w:asciiTheme="minorHAnsi" w:hAnsiTheme="minorHAnsi" w:cstheme="minorHAnsi"/>
        </w:rPr>
        <w:t xml:space="preserve">in collaborazione con INRIA e CATIE. </w:t>
      </w:r>
    </w:p>
    <w:p w14:paraId="2F545624" w14:textId="77777777" w:rsidR="00DA0F2D" w:rsidRPr="005648C5" w:rsidRDefault="00DA0F2D" w:rsidP="00DA0F2D">
      <w:pPr>
        <w:pStyle w:val="Default"/>
        <w:jc w:val="both"/>
        <w:rPr>
          <w:rFonts w:asciiTheme="minorHAnsi" w:hAnsiTheme="minorHAnsi" w:cstheme="minorHAnsi"/>
        </w:rPr>
      </w:pPr>
      <w:r w:rsidRPr="005648C5">
        <w:rPr>
          <w:rFonts w:asciiTheme="minorHAnsi" w:hAnsiTheme="minorHAnsi" w:cstheme="minorHAnsi"/>
        </w:rPr>
        <w:lastRenderedPageBreak/>
        <w:t xml:space="preserve">L’ADI - Agenzia di Sviluppo e Innovazione della Nouvelle-Aquitaine con </w:t>
      </w:r>
      <w:r w:rsidRPr="005648C5">
        <w:rPr>
          <w:rFonts w:asciiTheme="minorHAnsi" w:hAnsiTheme="minorHAnsi" w:cstheme="minorHAnsi"/>
          <w:b/>
          <w:bCs/>
        </w:rPr>
        <w:t xml:space="preserve">l’hub "DINHAMIC" </w:t>
      </w:r>
      <w:r w:rsidRPr="005648C5">
        <w:rPr>
          <w:rFonts w:asciiTheme="minorHAnsi" w:hAnsiTheme="minorHAnsi" w:cstheme="minorHAnsi"/>
        </w:rPr>
        <w:t>ha vinto un bando del programma europeo "Digital Europe" nel febbraio 2022. Il polo della Nouvelle-Aquitaine collabora in particolare con quello dell'</w:t>
      </w:r>
      <w:r w:rsidRPr="005648C5">
        <w:rPr>
          <w:rFonts w:asciiTheme="minorHAnsi" w:hAnsiTheme="minorHAnsi" w:cstheme="minorHAnsi"/>
          <w:b/>
          <w:bCs/>
        </w:rPr>
        <w:t>Emilia-Romagna "ER2Digit</w:t>
      </w:r>
      <w:r w:rsidRPr="005648C5">
        <w:rPr>
          <w:rFonts w:asciiTheme="minorHAnsi" w:hAnsiTheme="minorHAnsi" w:cstheme="minorHAnsi"/>
        </w:rPr>
        <w:t xml:space="preserve">" di ART-ER. Questa partnership ha portato allo sviluppo di un Memorandum of </w:t>
      </w:r>
      <w:proofErr w:type="spellStart"/>
      <w:r w:rsidRPr="005648C5">
        <w:rPr>
          <w:rFonts w:asciiTheme="minorHAnsi" w:hAnsiTheme="minorHAnsi" w:cstheme="minorHAnsi"/>
        </w:rPr>
        <w:t>Understanding</w:t>
      </w:r>
      <w:proofErr w:type="spellEnd"/>
      <w:r w:rsidRPr="005648C5">
        <w:rPr>
          <w:rFonts w:asciiTheme="minorHAnsi" w:hAnsiTheme="minorHAnsi" w:cstheme="minorHAnsi"/>
        </w:rPr>
        <w:t xml:space="preserve"> che definisce tutti gli assi di collaborazione tra hub digitali. </w:t>
      </w:r>
    </w:p>
    <w:p w14:paraId="20A3D308" w14:textId="64E71FAC" w:rsidR="00FC2D14" w:rsidRPr="005648C5" w:rsidRDefault="00DA0F2D" w:rsidP="00DA0F2D">
      <w:pPr>
        <w:pStyle w:val="NormaleWeb"/>
        <w:shd w:val="clear" w:color="auto" w:fill="FFFFFF"/>
        <w:spacing w:before="0" w:beforeAutospacing="0" w:after="203" w:afterAutospacing="0"/>
        <w:jc w:val="both"/>
        <w:rPr>
          <w:rFonts w:asciiTheme="minorHAnsi" w:hAnsiTheme="minorHAnsi" w:cstheme="minorHAnsi"/>
        </w:rPr>
      </w:pPr>
      <w:r w:rsidRPr="005648C5">
        <w:rPr>
          <w:rFonts w:asciiTheme="minorHAnsi" w:hAnsiTheme="minorHAnsi" w:cstheme="minorHAnsi"/>
        </w:rPr>
        <w:t xml:space="preserve">Per quanto riguarda la ricerca, </w:t>
      </w:r>
      <w:r w:rsidRPr="005648C5">
        <w:rPr>
          <w:rFonts w:asciiTheme="minorHAnsi" w:hAnsiTheme="minorHAnsi" w:cstheme="minorHAnsi"/>
          <w:b/>
          <w:bCs/>
        </w:rPr>
        <w:t xml:space="preserve">CATIE e INRIA, </w:t>
      </w:r>
      <w:r w:rsidRPr="005648C5">
        <w:rPr>
          <w:rFonts w:asciiTheme="minorHAnsi" w:hAnsiTheme="minorHAnsi" w:cstheme="minorHAnsi"/>
        </w:rPr>
        <w:t xml:space="preserve">che partecipano alla missione di giugno 2023, hanno iniziato a stabilire contatti con i principali centri di ricerca della Regione Emilia-Romagna in ambito digitale. </w:t>
      </w:r>
      <w:r w:rsidRPr="005648C5">
        <w:rPr>
          <w:rFonts w:asciiTheme="minorHAnsi" w:hAnsiTheme="minorHAnsi" w:cstheme="minorHAnsi"/>
          <w:b/>
          <w:bCs/>
        </w:rPr>
        <w:t>CATIE è molto interessata a lavorare con Lepida e sono già in contatto</w:t>
      </w:r>
      <w:r w:rsidRPr="005648C5">
        <w:rPr>
          <w:rFonts w:asciiTheme="minorHAnsi" w:hAnsiTheme="minorHAnsi" w:cstheme="minorHAnsi"/>
        </w:rPr>
        <w:t>.</w:t>
      </w:r>
    </w:p>
    <w:p w14:paraId="33FBCDA1" w14:textId="6645008D" w:rsidR="00FC2D14" w:rsidRPr="005648C5" w:rsidRDefault="00FC2D14" w:rsidP="005648C5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5648C5">
        <w:rPr>
          <w:rFonts w:asciiTheme="minorHAnsi" w:hAnsiTheme="minorHAnsi" w:cstheme="minorHAnsi"/>
          <w:b/>
          <w:bCs/>
        </w:rPr>
        <w:t>I componenti la delegazione</w:t>
      </w:r>
    </w:p>
    <w:p w14:paraId="409C9B84" w14:textId="5FDD80CE" w:rsidR="003A29EC" w:rsidRPr="005648C5" w:rsidRDefault="00FC2D14" w:rsidP="005648C5">
      <w:pPr>
        <w:spacing w:after="0" w:line="240" w:lineRule="auto"/>
        <w:jc w:val="both"/>
        <w:rPr>
          <w:rFonts w:cstheme="minorHAnsi"/>
          <w:color w:val="1C2024"/>
          <w:sz w:val="24"/>
          <w:szCs w:val="24"/>
        </w:rPr>
      </w:pPr>
      <w:r w:rsidRPr="005648C5">
        <w:rPr>
          <w:rFonts w:cstheme="minorHAnsi"/>
          <w:sz w:val="24"/>
          <w:szCs w:val="24"/>
        </w:rPr>
        <w:t xml:space="preserve">Della delegazione francese fanno parte anche </w:t>
      </w:r>
      <w:proofErr w:type="spellStart"/>
      <w:r w:rsidRPr="005648C5">
        <w:rPr>
          <w:rFonts w:cstheme="minorHAnsi"/>
          <w:b/>
          <w:bCs/>
          <w:sz w:val="24"/>
          <w:szCs w:val="24"/>
        </w:rPr>
        <w:t>Yann</w:t>
      </w:r>
      <w:proofErr w:type="spellEnd"/>
      <w:r w:rsidRPr="005648C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48C5">
        <w:rPr>
          <w:rFonts w:cstheme="minorHAnsi"/>
          <w:b/>
          <w:bCs/>
          <w:sz w:val="24"/>
          <w:szCs w:val="24"/>
        </w:rPr>
        <w:t>Pennec</w:t>
      </w:r>
      <w:proofErr w:type="spellEnd"/>
      <w:r w:rsidRPr="005648C5">
        <w:rPr>
          <w:rFonts w:cstheme="minorHAnsi"/>
          <w:sz w:val="24"/>
          <w:szCs w:val="24"/>
        </w:rPr>
        <w:t xml:space="preserve">, direttore del Digitale della Regione Nouvelle-Aquitaine, </w:t>
      </w:r>
      <w:r w:rsidRPr="005648C5">
        <w:rPr>
          <w:rFonts w:cstheme="minorHAnsi"/>
          <w:b/>
          <w:bCs/>
          <w:sz w:val="24"/>
          <w:szCs w:val="24"/>
        </w:rPr>
        <w:t>Nicolas Roussel</w:t>
      </w:r>
      <w:r w:rsidRPr="005648C5">
        <w:rPr>
          <w:rFonts w:cstheme="minorHAnsi"/>
          <w:sz w:val="24"/>
          <w:szCs w:val="24"/>
        </w:rPr>
        <w:t xml:space="preserve">, direttore INRIA-Istituto nazionale di ricerca in scienza e tecnologia digitale, </w:t>
      </w:r>
      <w:r w:rsidRPr="005648C5">
        <w:rPr>
          <w:rFonts w:cstheme="minorHAnsi"/>
          <w:b/>
          <w:bCs/>
          <w:sz w:val="24"/>
          <w:szCs w:val="24"/>
        </w:rPr>
        <w:t xml:space="preserve">Bertrand </w:t>
      </w:r>
      <w:proofErr w:type="spellStart"/>
      <w:r w:rsidRPr="005648C5">
        <w:rPr>
          <w:rFonts w:cstheme="minorHAnsi"/>
          <w:b/>
          <w:bCs/>
          <w:sz w:val="24"/>
          <w:szCs w:val="24"/>
        </w:rPr>
        <w:t>Castagnet</w:t>
      </w:r>
      <w:proofErr w:type="spellEnd"/>
      <w:r w:rsidRPr="005648C5">
        <w:rPr>
          <w:rFonts w:cstheme="minorHAnsi"/>
          <w:sz w:val="24"/>
          <w:szCs w:val="24"/>
        </w:rPr>
        <w:t xml:space="preserve">, direttore CATIE-Centro Aquitano delle Tecnologie dell’Informazione e dell’Elettronica, </w:t>
      </w:r>
      <w:proofErr w:type="spellStart"/>
      <w:r w:rsidRPr="005648C5">
        <w:rPr>
          <w:rFonts w:cstheme="minorHAnsi"/>
          <w:b/>
          <w:bCs/>
          <w:sz w:val="24"/>
          <w:szCs w:val="24"/>
        </w:rPr>
        <w:t>Léa</w:t>
      </w:r>
      <w:proofErr w:type="spellEnd"/>
      <w:r w:rsidRPr="005648C5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5648C5">
        <w:rPr>
          <w:rFonts w:cstheme="minorHAnsi"/>
          <w:b/>
          <w:bCs/>
          <w:sz w:val="24"/>
          <w:szCs w:val="24"/>
        </w:rPr>
        <w:t>Lémarié</w:t>
      </w:r>
      <w:proofErr w:type="spellEnd"/>
      <w:r w:rsidRPr="005648C5">
        <w:rPr>
          <w:rFonts w:cstheme="minorHAnsi"/>
          <w:sz w:val="24"/>
          <w:szCs w:val="24"/>
        </w:rPr>
        <w:t xml:space="preserve">, responsabile del progetti europei del Polo della competitività Alfa RLH, </w:t>
      </w:r>
      <w:r w:rsidRPr="005648C5">
        <w:rPr>
          <w:rFonts w:cstheme="minorHAnsi"/>
          <w:b/>
          <w:bCs/>
          <w:sz w:val="24"/>
          <w:szCs w:val="24"/>
        </w:rPr>
        <w:t xml:space="preserve">Trang </w:t>
      </w:r>
      <w:proofErr w:type="spellStart"/>
      <w:r w:rsidRPr="005648C5">
        <w:rPr>
          <w:rFonts w:cstheme="minorHAnsi"/>
          <w:b/>
          <w:bCs/>
          <w:sz w:val="24"/>
          <w:szCs w:val="24"/>
        </w:rPr>
        <w:t>Pham</w:t>
      </w:r>
      <w:proofErr w:type="spellEnd"/>
      <w:r w:rsidRPr="005648C5">
        <w:rPr>
          <w:rFonts w:cstheme="minorHAnsi"/>
          <w:sz w:val="24"/>
          <w:szCs w:val="24"/>
        </w:rPr>
        <w:t xml:space="preserve">, presidente Digital Aquitaine (associazione che lavora per lo sviluppo sostenibile dell’economia digitale), </w:t>
      </w:r>
      <w:r w:rsidRPr="005648C5">
        <w:rPr>
          <w:rFonts w:cstheme="minorHAnsi"/>
          <w:b/>
          <w:bCs/>
          <w:sz w:val="24"/>
          <w:szCs w:val="24"/>
        </w:rPr>
        <w:t>Xavier Blanc</w:t>
      </w:r>
      <w:r w:rsidRPr="005648C5">
        <w:rPr>
          <w:rFonts w:cstheme="minorHAnsi"/>
          <w:sz w:val="24"/>
          <w:szCs w:val="24"/>
        </w:rPr>
        <w:t xml:space="preserve">, direttore </w:t>
      </w:r>
      <w:proofErr w:type="spellStart"/>
      <w:r w:rsidRPr="005648C5">
        <w:rPr>
          <w:rFonts w:cstheme="minorHAnsi"/>
          <w:sz w:val="24"/>
          <w:szCs w:val="24"/>
        </w:rPr>
        <w:t>LaBRI</w:t>
      </w:r>
      <w:proofErr w:type="spellEnd"/>
      <w:r w:rsidRPr="005648C5">
        <w:rPr>
          <w:rFonts w:cstheme="minorHAnsi"/>
          <w:sz w:val="24"/>
          <w:szCs w:val="24"/>
        </w:rPr>
        <w:t xml:space="preserve">-Laboratorio Bordolese di Ricerca in Informatica, e </w:t>
      </w:r>
      <w:r w:rsidRPr="005648C5">
        <w:rPr>
          <w:rFonts w:eastAsia="Times New Roman" w:cstheme="minorHAnsi"/>
          <w:b/>
          <w:bCs/>
          <w:sz w:val="24"/>
          <w:szCs w:val="24"/>
        </w:rPr>
        <w:t xml:space="preserve">François Pellegrini, </w:t>
      </w:r>
      <w:r w:rsidRPr="005648C5">
        <w:rPr>
          <w:rFonts w:eastAsia="Times New Roman" w:cstheme="minorHAnsi"/>
          <w:sz w:val="24"/>
          <w:szCs w:val="24"/>
        </w:rPr>
        <w:t>presidente Nouvelle Aquitaine Open Source-centro regionale di competenza in software e tecnologie libere e open source.</w:t>
      </w:r>
      <w:r w:rsidRPr="005648C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5648C5" w:rsidRPr="005648C5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DA0F2D" w:rsidRPr="005648C5">
        <w:rPr>
          <w:rFonts w:cstheme="minorHAnsi"/>
          <w:sz w:val="24"/>
          <w:szCs w:val="24"/>
        </w:rPr>
        <w:t>/MC</w:t>
      </w:r>
    </w:p>
    <w:p w14:paraId="4C9E09ED" w14:textId="22A5D7D6" w:rsidR="003A29EC" w:rsidRPr="00A9127A" w:rsidRDefault="003A29EC" w:rsidP="003A29EC">
      <w:pPr>
        <w:jc w:val="both"/>
        <w:rPr>
          <w:i/>
          <w:iCs/>
          <w:sz w:val="28"/>
          <w:szCs w:val="28"/>
        </w:rPr>
      </w:pPr>
    </w:p>
    <w:sectPr w:rsidR="003A29EC" w:rsidRPr="00A912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60C"/>
    <w:multiLevelType w:val="hybridMultilevel"/>
    <w:tmpl w:val="0324F9BE"/>
    <w:lvl w:ilvl="0" w:tplc="C94CEA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22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62"/>
    <w:rsid w:val="000045CC"/>
    <w:rsid w:val="00021D46"/>
    <w:rsid w:val="00053881"/>
    <w:rsid w:val="00061FAD"/>
    <w:rsid w:val="0007541C"/>
    <w:rsid w:val="00075A00"/>
    <w:rsid w:val="00091DD6"/>
    <w:rsid w:val="000E2D76"/>
    <w:rsid w:val="001023B8"/>
    <w:rsid w:val="00124EAC"/>
    <w:rsid w:val="00127EAC"/>
    <w:rsid w:val="00130E93"/>
    <w:rsid w:val="00130FDA"/>
    <w:rsid w:val="00136EB8"/>
    <w:rsid w:val="00151B30"/>
    <w:rsid w:val="001769A1"/>
    <w:rsid w:val="00183A44"/>
    <w:rsid w:val="001844A0"/>
    <w:rsid w:val="0019428F"/>
    <w:rsid w:val="001A7E8C"/>
    <w:rsid w:val="001C0CD7"/>
    <w:rsid w:val="001C3991"/>
    <w:rsid w:val="001C480A"/>
    <w:rsid w:val="00204443"/>
    <w:rsid w:val="002357AE"/>
    <w:rsid w:val="00247FA3"/>
    <w:rsid w:val="00256F69"/>
    <w:rsid w:val="002A3930"/>
    <w:rsid w:val="002B2D55"/>
    <w:rsid w:val="002D72A0"/>
    <w:rsid w:val="002F0BD6"/>
    <w:rsid w:val="00310985"/>
    <w:rsid w:val="00314127"/>
    <w:rsid w:val="00335365"/>
    <w:rsid w:val="00352627"/>
    <w:rsid w:val="00367A15"/>
    <w:rsid w:val="00390E82"/>
    <w:rsid w:val="003927E7"/>
    <w:rsid w:val="003A29EC"/>
    <w:rsid w:val="003B1C62"/>
    <w:rsid w:val="003B2D73"/>
    <w:rsid w:val="003D181C"/>
    <w:rsid w:val="003D4E06"/>
    <w:rsid w:val="003D5A5D"/>
    <w:rsid w:val="003F03AF"/>
    <w:rsid w:val="00425979"/>
    <w:rsid w:val="00426A02"/>
    <w:rsid w:val="00456FDB"/>
    <w:rsid w:val="00494A35"/>
    <w:rsid w:val="004A52FC"/>
    <w:rsid w:val="004C5126"/>
    <w:rsid w:val="004F01C5"/>
    <w:rsid w:val="004F6744"/>
    <w:rsid w:val="00516F85"/>
    <w:rsid w:val="005648C5"/>
    <w:rsid w:val="00567576"/>
    <w:rsid w:val="005A16F5"/>
    <w:rsid w:val="005D6790"/>
    <w:rsid w:val="005F47EF"/>
    <w:rsid w:val="005F5558"/>
    <w:rsid w:val="00652D65"/>
    <w:rsid w:val="006539A3"/>
    <w:rsid w:val="00662C5C"/>
    <w:rsid w:val="006661FE"/>
    <w:rsid w:val="006860AD"/>
    <w:rsid w:val="0069321D"/>
    <w:rsid w:val="006B55CD"/>
    <w:rsid w:val="006D523C"/>
    <w:rsid w:val="006E44EE"/>
    <w:rsid w:val="006E47DF"/>
    <w:rsid w:val="007613B7"/>
    <w:rsid w:val="0079076E"/>
    <w:rsid w:val="007A6F43"/>
    <w:rsid w:val="007B0D2E"/>
    <w:rsid w:val="007C1DF0"/>
    <w:rsid w:val="007E1959"/>
    <w:rsid w:val="007F56E5"/>
    <w:rsid w:val="00832A03"/>
    <w:rsid w:val="008A6791"/>
    <w:rsid w:val="008B00F4"/>
    <w:rsid w:val="008B76CA"/>
    <w:rsid w:val="008B7CE4"/>
    <w:rsid w:val="008D5F09"/>
    <w:rsid w:val="008E501B"/>
    <w:rsid w:val="008F4375"/>
    <w:rsid w:val="009051E1"/>
    <w:rsid w:val="00933494"/>
    <w:rsid w:val="009514D7"/>
    <w:rsid w:val="009825E3"/>
    <w:rsid w:val="009914EA"/>
    <w:rsid w:val="009921BC"/>
    <w:rsid w:val="009A54E3"/>
    <w:rsid w:val="009B5815"/>
    <w:rsid w:val="009C4D7E"/>
    <w:rsid w:val="009D77EE"/>
    <w:rsid w:val="00A13645"/>
    <w:rsid w:val="00A26EA7"/>
    <w:rsid w:val="00A30160"/>
    <w:rsid w:val="00A639A6"/>
    <w:rsid w:val="00A8289B"/>
    <w:rsid w:val="00A9127A"/>
    <w:rsid w:val="00A92936"/>
    <w:rsid w:val="00AC40B1"/>
    <w:rsid w:val="00B005D5"/>
    <w:rsid w:val="00B013DA"/>
    <w:rsid w:val="00B04E74"/>
    <w:rsid w:val="00B12B4B"/>
    <w:rsid w:val="00B17F6B"/>
    <w:rsid w:val="00B203AE"/>
    <w:rsid w:val="00B73A14"/>
    <w:rsid w:val="00B73A1E"/>
    <w:rsid w:val="00B74EC9"/>
    <w:rsid w:val="00BB14E7"/>
    <w:rsid w:val="00BB1C2A"/>
    <w:rsid w:val="00BB2613"/>
    <w:rsid w:val="00BC5F1F"/>
    <w:rsid w:val="00BF6AB0"/>
    <w:rsid w:val="00C17441"/>
    <w:rsid w:val="00C33D2A"/>
    <w:rsid w:val="00C6165B"/>
    <w:rsid w:val="00C62053"/>
    <w:rsid w:val="00C97E04"/>
    <w:rsid w:val="00CA0525"/>
    <w:rsid w:val="00CA2171"/>
    <w:rsid w:val="00CA4DF3"/>
    <w:rsid w:val="00CC019F"/>
    <w:rsid w:val="00CD0E87"/>
    <w:rsid w:val="00D01B40"/>
    <w:rsid w:val="00D4712C"/>
    <w:rsid w:val="00D5384D"/>
    <w:rsid w:val="00D5534A"/>
    <w:rsid w:val="00D606CD"/>
    <w:rsid w:val="00D65FE1"/>
    <w:rsid w:val="00DA0F2D"/>
    <w:rsid w:val="00DA44A5"/>
    <w:rsid w:val="00DB131F"/>
    <w:rsid w:val="00DB34FF"/>
    <w:rsid w:val="00DD4439"/>
    <w:rsid w:val="00E146E9"/>
    <w:rsid w:val="00E666D5"/>
    <w:rsid w:val="00E8694B"/>
    <w:rsid w:val="00E9480E"/>
    <w:rsid w:val="00EA18B1"/>
    <w:rsid w:val="00EB4C63"/>
    <w:rsid w:val="00EB6D89"/>
    <w:rsid w:val="00EC14C2"/>
    <w:rsid w:val="00ED37D8"/>
    <w:rsid w:val="00EF1983"/>
    <w:rsid w:val="00EF4B7D"/>
    <w:rsid w:val="00F5628B"/>
    <w:rsid w:val="00FB40F3"/>
    <w:rsid w:val="00FC0E68"/>
    <w:rsid w:val="00FC2D14"/>
    <w:rsid w:val="00FC5428"/>
    <w:rsid w:val="00FD1387"/>
    <w:rsid w:val="00FD6710"/>
    <w:rsid w:val="00FE26E6"/>
    <w:rsid w:val="00FF384A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0E351"/>
  <w15:chartTrackingRefBased/>
  <w15:docId w15:val="{B6CB9FBF-82E6-425B-BCA0-D9E80B03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29EC"/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3353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8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844A0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5365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335365"/>
    <w:rPr>
      <w:color w:val="0563C1"/>
      <w:u w:val="single"/>
    </w:rPr>
  </w:style>
  <w:style w:type="paragraph" w:customStyle="1" w:styleId="Default">
    <w:name w:val="Default"/>
    <w:rsid w:val="00021D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B2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Cinquepalmi Mara</dc:creator>
  <cp:keywords/>
  <dc:description/>
  <cp:lastModifiedBy>Vergano Chiara</cp:lastModifiedBy>
  <cp:revision>5</cp:revision>
  <dcterms:created xsi:type="dcterms:W3CDTF">2023-06-05T08:06:00Z</dcterms:created>
  <dcterms:modified xsi:type="dcterms:W3CDTF">2023-06-05T08:15:00Z</dcterms:modified>
</cp:coreProperties>
</file>