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FF5A" w14:textId="77777777" w:rsidR="00105774" w:rsidRDefault="00105774" w:rsidP="00105774">
      <w:pPr>
        <w:jc w:val="both"/>
        <w:rPr>
          <w:rFonts w:cstheme="minorHAnsi"/>
          <w:b/>
          <w:bCs/>
          <w:sz w:val="24"/>
          <w:szCs w:val="24"/>
        </w:rPr>
      </w:pPr>
    </w:p>
    <w:p w14:paraId="6EC5C5D5" w14:textId="77777777" w:rsidR="00105774" w:rsidRDefault="00105774" w:rsidP="0010577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L’indagine in sintesi/1</w:t>
      </w:r>
    </w:p>
    <w:p w14:paraId="344367AE" w14:textId="0585E571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Ecco il dettaglio delle voci analizzate dalla ricerca “</w:t>
      </w:r>
      <w:r>
        <w:rPr>
          <w:rFonts w:cstheme="minorHAnsi"/>
          <w:b/>
          <w:bCs/>
          <w:sz w:val="24"/>
          <w:szCs w:val="24"/>
        </w:rPr>
        <w:t>Gli effetti economici e reputazionali generati dai grandi eventi sportivi in Emilia-Romagna</w:t>
      </w:r>
      <w:r>
        <w:rPr>
          <w:rFonts w:cstheme="minorHAnsi"/>
          <w:sz w:val="24"/>
          <w:szCs w:val="24"/>
        </w:rPr>
        <w:t>”.</w:t>
      </w:r>
    </w:p>
    <w:p w14:paraId="18ED4CF7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quanto riguarda gli </w:t>
      </w:r>
      <w:r>
        <w:rPr>
          <w:rFonts w:cstheme="minorHAnsi"/>
          <w:b/>
          <w:bCs/>
          <w:sz w:val="24"/>
          <w:szCs w:val="24"/>
        </w:rPr>
        <w:t>Atleti e le squadre</w:t>
      </w:r>
      <w:r>
        <w:rPr>
          <w:rFonts w:cstheme="minorHAnsi"/>
          <w:sz w:val="24"/>
          <w:szCs w:val="24"/>
        </w:rPr>
        <w:t xml:space="preserve"> - sfiorano i 100mila quelli arrivati nel 2022 in Emilia-Romagna da tutto il mondo, ospiti delle strutture sul territorio per un pernottamento medio di 4,6 notti - il ritorno economico è stato valutato in </w:t>
      </w:r>
      <w:r>
        <w:rPr>
          <w:rFonts w:cstheme="minorHAnsi"/>
          <w:b/>
          <w:bCs/>
          <w:sz w:val="24"/>
          <w:szCs w:val="24"/>
        </w:rPr>
        <w:t>33,7 milioni di euro</w:t>
      </w:r>
      <w:r>
        <w:rPr>
          <w:rFonts w:cstheme="minorHAnsi"/>
          <w:sz w:val="24"/>
          <w:szCs w:val="24"/>
        </w:rPr>
        <w:t xml:space="preserve"> (considerando 30,9 milioni di euro per le spese di soggiorno e 2,8 milioni per quelle di iscrizione). </w:t>
      </w:r>
    </w:p>
    <w:p w14:paraId="62AE4F88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Passando agli </w:t>
      </w:r>
      <w:r>
        <w:rPr>
          <w:rFonts w:cstheme="minorHAnsi"/>
          <w:b/>
          <w:bCs/>
          <w:sz w:val="24"/>
          <w:szCs w:val="24"/>
        </w:rPr>
        <w:t>spettatori e accompagnatori</w:t>
      </w:r>
      <w:r>
        <w:rPr>
          <w:rFonts w:cstheme="minorHAnsi"/>
          <w:sz w:val="24"/>
          <w:szCs w:val="24"/>
        </w:rPr>
        <w:t xml:space="preserve"> sono state considerate oltre </w:t>
      </w:r>
      <w:r>
        <w:rPr>
          <w:rFonts w:cstheme="minorHAnsi"/>
          <w:b/>
          <w:bCs/>
          <w:sz w:val="24"/>
          <w:szCs w:val="24"/>
        </w:rPr>
        <w:t>620 mila presene</w:t>
      </w:r>
      <w:r>
        <w:rPr>
          <w:rFonts w:cstheme="minorHAnsi"/>
          <w:sz w:val="24"/>
          <w:szCs w:val="24"/>
        </w:rPr>
        <w:t xml:space="preserve">, per un soggiorno medio di 1,3 notti e una ricaduta economica di quasi </w:t>
      </w:r>
      <w:r>
        <w:rPr>
          <w:rFonts w:cstheme="minorHAnsi"/>
          <w:b/>
          <w:bCs/>
          <w:sz w:val="24"/>
          <w:szCs w:val="24"/>
        </w:rPr>
        <w:t>66,5 milioni di euro</w:t>
      </w:r>
      <w:r>
        <w:rPr>
          <w:rFonts w:cstheme="minorHAnsi"/>
          <w:sz w:val="24"/>
          <w:szCs w:val="24"/>
        </w:rPr>
        <w:t>.</w:t>
      </w:r>
    </w:p>
    <w:p w14:paraId="542E1043" w14:textId="77777777" w:rsidR="00105774" w:rsidRDefault="00105774" w:rsidP="0010577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Oltre </w:t>
      </w:r>
      <w:r>
        <w:rPr>
          <w:rFonts w:cstheme="minorHAnsi"/>
          <w:b/>
          <w:bCs/>
          <w:sz w:val="24"/>
          <w:szCs w:val="24"/>
        </w:rPr>
        <w:t>4.100 i membri</w:t>
      </w:r>
      <w:r>
        <w:rPr>
          <w:rFonts w:cstheme="minorHAnsi"/>
          <w:sz w:val="24"/>
          <w:szCs w:val="24"/>
        </w:rPr>
        <w:t xml:space="preserve"> degli </w:t>
      </w:r>
      <w:r>
        <w:rPr>
          <w:rFonts w:cstheme="minorHAnsi"/>
          <w:b/>
          <w:bCs/>
          <w:sz w:val="24"/>
          <w:szCs w:val="24"/>
        </w:rPr>
        <w:t xml:space="preserve">staff </w:t>
      </w:r>
      <w:r>
        <w:rPr>
          <w:rFonts w:cstheme="minorHAnsi"/>
          <w:sz w:val="24"/>
          <w:szCs w:val="24"/>
        </w:rPr>
        <w:t xml:space="preserve">per 4,2 notti di soggiorno medio e una spesa di </w:t>
      </w:r>
      <w:r>
        <w:rPr>
          <w:rFonts w:cstheme="minorHAnsi"/>
          <w:b/>
          <w:bCs/>
          <w:sz w:val="24"/>
          <w:szCs w:val="24"/>
        </w:rPr>
        <w:t>oltre 1,2 milioni di euro</w:t>
      </w:r>
      <w:r>
        <w:rPr>
          <w:rFonts w:cstheme="minorHAnsi"/>
          <w:sz w:val="24"/>
          <w:szCs w:val="24"/>
        </w:rPr>
        <w:t xml:space="preserve">. A questi vanno affiancati i </w:t>
      </w:r>
      <w:r>
        <w:rPr>
          <w:rFonts w:cstheme="minorHAnsi"/>
          <w:b/>
          <w:bCs/>
          <w:sz w:val="24"/>
          <w:szCs w:val="24"/>
        </w:rPr>
        <w:t>quasi 2mila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giudici di gara</w:t>
      </w:r>
      <w:r>
        <w:rPr>
          <w:rFonts w:cstheme="minorHAnsi"/>
          <w:sz w:val="24"/>
          <w:szCs w:val="24"/>
        </w:rPr>
        <w:t xml:space="preserve"> che si sono fermati per 3,9 notti, portando sul territorio oltre </w:t>
      </w:r>
      <w:r>
        <w:rPr>
          <w:rFonts w:cstheme="minorHAnsi"/>
          <w:b/>
          <w:bCs/>
          <w:sz w:val="24"/>
          <w:szCs w:val="24"/>
        </w:rPr>
        <w:t>900 mila euro.</w:t>
      </w:r>
    </w:p>
    <w:p w14:paraId="0632BDD9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poi i</w:t>
      </w:r>
      <w:r>
        <w:rPr>
          <w:rFonts w:cstheme="minorHAnsi"/>
          <w:b/>
          <w:bCs/>
          <w:sz w:val="24"/>
          <w:szCs w:val="24"/>
        </w:rPr>
        <w:t xml:space="preserve"> media: oltre 1.400 le presenze</w:t>
      </w:r>
      <w:r>
        <w:rPr>
          <w:rFonts w:cstheme="minorHAnsi"/>
          <w:sz w:val="24"/>
          <w:szCs w:val="24"/>
        </w:rPr>
        <w:t xml:space="preserve"> di giornalisti e operatori per una</w:t>
      </w:r>
      <w:r>
        <w:rPr>
          <w:rFonts w:cstheme="minorHAnsi"/>
          <w:b/>
          <w:bCs/>
          <w:sz w:val="24"/>
          <w:szCs w:val="24"/>
        </w:rPr>
        <w:t xml:space="preserve"> spesa di quasi 700mila euro </w:t>
      </w:r>
      <w:r>
        <w:rPr>
          <w:rFonts w:cstheme="minorHAnsi"/>
          <w:sz w:val="24"/>
          <w:szCs w:val="24"/>
        </w:rPr>
        <w:t>(2,8 notti il soggiorno medio).</w:t>
      </w:r>
    </w:p>
    <w:p w14:paraId="63A9E9B3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L’indagine ha calcolato anche la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ricaduta sul territorio,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termini </w:t>
      </w:r>
      <w:r>
        <w:rPr>
          <w:rFonts w:cstheme="minorHAnsi"/>
          <w:b/>
          <w:bCs/>
          <w:sz w:val="24"/>
          <w:szCs w:val="24"/>
        </w:rPr>
        <w:t>promozionali e reputazionali</w:t>
      </w:r>
      <w:r>
        <w:rPr>
          <w:rFonts w:cstheme="minorHAnsi"/>
          <w:sz w:val="24"/>
          <w:szCs w:val="24"/>
        </w:rPr>
        <w:t>, dell’attività di</w:t>
      </w:r>
      <w:r>
        <w:rPr>
          <w:rFonts w:cstheme="minorHAnsi"/>
          <w:b/>
          <w:bCs/>
          <w:sz w:val="24"/>
          <w:szCs w:val="24"/>
        </w:rPr>
        <w:t xml:space="preserve"> comunicazione </w:t>
      </w:r>
      <w:r>
        <w:rPr>
          <w:rFonts w:cstheme="minorHAnsi"/>
          <w:sz w:val="24"/>
          <w:szCs w:val="24"/>
        </w:rPr>
        <w:t>che accompagna gli eventi sportivi</w:t>
      </w:r>
      <w:r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valutata in</w:t>
      </w:r>
      <w:r>
        <w:rPr>
          <w:rFonts w:cstheme="minorHAnsi"/>
          <w:b/>
          <w:bCs/>
          <w:sz w:val="24"/>
          <w:szCs w:val="24"/>
        </w:rPr>
        <w:t xml:space="preserve"> oltre 32,7 milioni di </w:t>
      </w:r>
      <w:r>
        <w:rPr>
          <w:rFonts w:cstheme="minorHAnsi"/>
          <w:sz w:val="24"/>
          <w:szCs w:val="24"/>
        </w:rPr>
        <w:t>euro considerando articoli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stampa, servizi e trasmissioni televisive, social network.</w:t>
      </w:r>
    </w:p>
    <w:p w14:paraId="087756E4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Infine, le spese per </w:t>
      </w:r>
      <w:r>
        <w:rPr>
          <w:rFonts w:cstheme="minorHAnsi"/>
          <w:b/>
          <w:bCs/>
          <w:sz w:val="24"/>
          <w:szCs w:val="24"/>
        </w:rPr>
        <w:t>l’organizzazione delle manifestazioni</w:t>
      </w:r>
      <w:r>
        <w:rPr>
          <w:rFonts w:cstheme="minorHAnsi"/>
          <w:sz w:val="24"/>
          <w:szCs w:val="24"/>
        </w:rPr>
        <w:t xml:space="preserve"> a partire da quelle per </w:t>
      </w:r>
      <w:r>
        <w:rPr>
          <w:rFonts w:cstheme="minorHAnsi"/>
          <w:b/>
          <w:bCs/>
          <w:sz w:val="24"/>
          <w:szCs w:val="24"/>
        </w:rPr>
        <w:t>l’adeguamento di impianti e attrezzature</w:t>
      </w:r>
      <w:r>
        <w:rPr>
          <w:rFonts w:cstheme="minorHAnsi"/>
          <w:sz w:val="24"/>
          <w:szCs w:val="24"/>
        </w:rPr>
        <w:t xml:space="preserve">, con benefici per il territorio a lungo termine, passando per quelle per la gestione degli impianti, il personale e i servizi, per un totale di </w:t>
      </w:r>
      <w:r>
        <w:rPr>
          <w:rFonts w:cstheme="minorHAnsi"/>
          <w:b/>
          <w:bCs/>
          <w:sz w:val="24"/>
          <w:szCs w:val="24"/>
        </w:rPr>
        <w:t>14,3 milioni di euro</w:t>
      </w:r>
      <w:r>
        <w:rPr>
          <w:rFonts w:cstheme="minorHAnsi"/>
          <w:sz w:val="24"/>
          <w:szCs w:val="24"/>
        </w:rPr>
        <w:t>.</w:t>
      </w:r>
    </w:p>
    <w:p w14:paraId="654D1AA7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</w:p>
    <w:p w14:paraId="5A0470DA" w14:textId="77777777" w:rsidR="00105774" w:rsidRDefault="00105774" w:rsidP="0010577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L’indagine in sintesi/2</w:t>
      </w:r>
    </w:p>
    <w:p w14:paraId="776A4285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Gli eventi considerati hanno interessato </w:t>
      </w:r>
      <w:r>
        <w:rPr>
          <w:rFonts w:cstheme="minorHAnsi"/>
          <w:b/>
          <w:bCs/>
          <w:sz w:val="24"/>
          <w:szCs w:val="24"/>
        </w:rPr>
        <w:t>tutto il territorio regionale</w:t>
      </w:r>
      <w:r>
        <w:rPr>
          <w:rFonts w:cstheme="minorHAnsi"/>
          <w:sz w:val="24"/>
          <w:szCs w:val="24"/>
        </w:rPr>
        <w:t xml:space="preserve"> lungo </w:t>
      </w:r>
      <w:r>
        <w:rPr>
          <w:rFonts w:cstheme="minorHAnsi"/>
          <w:b/>
          <w:bCs/>
          <w:sz w:val="24"/>
          <w:szCs w:val="24"/>
        </w:rPr>
        <w:t xml:space="preserve">l’intero arco dell’anno, </w:t>
      </w:r>
      <w:r>
        <w:rPr>
          <w:rFonts w:cstheme="minorHAnsi"/>
          <w:sz w:val="24"/>
          <w:szCs w:val="24"/>
        </w:rPr>
        <w:t xml:space="preserve">coprendo nel 2022 oltre il 90% dei giorni dell’anno, anche se ovviamente con una maggiore concentrazione nel periodo estivo. </w:t>
      </w:r>
    </w:p>
    <w:p w14:paraId="4286D4AA" w14:textId="77777777" w:rsidR="00105774" w:rsidRDefault="00105774" w:rsidP="00105774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Caratteristica comune la </w:t>
      </w:r>
      <w:r>
        <w:rPr>
          <w:rFonts w:cstheme="minorHAnsi"/>
          <w:b/>
          <w:bCs/>
          <w:sz w:val="24"/>
          <w:szCs w:val="24"/>
        </w:rPr>
        <w:t>multidisciplinarietà</w:t>
      </w:r>
      <w:r>
        <w:rPr>
          <w:rFonts w:cstheme="minorHAnsi"/>
          <w:sz w:val="24"/>
          <w:szCs w:val="24"/>
        </w:rPr>
        <w:t xml:space="preserve">, con oltre 24 discipline sportive diverse. La più presente è stata il </w:t>
      </w:r>
      <w:r>
        <w:rPr>
          <w:rFonts w:cstheme="minorHAnsi"/>
          <w:b/>
          <w:bCs/>
          <w:sz w:val="24"/>
          <w:szCs w:val="24"/>
        </w:rPr>
        <w:t xml:space="preserve">ciclismo, </w:t>
      </w:r>
      <w:r>
        <w:rPr>
          <w:rFonts w:cstheme="minorHAnsi"/>
          <w:sz w:val="24"/>
          <w:szCs w:val="24"/>
        </w:rPr>
        <w:t xml:space="preserve">protagonista di 17 eventi, mentre sono 66 quelli che hanno interessato le </w:t>
      </w:r>
      <w:r>
        <w:rPr>
          <w:rFonts w:cstheme="minorHAnsi"/>
          <w:b/>
          <w:bCs/>
          <w:sz w:val="24"/>
          <w:szCs w:val="24"/>
        </w:rPr>
        <w:t>discipline olimpiche</w:t>
      </w:r>
      <w:r>
        <w:rPr>
          <w:rFonts w:cstheme="minorHAnsi"/>
          <w:sz w:val="24"/>
          <w:szCs w:val="24"/>
        </w:rPr>
        <w:t xml:space="preserve">.  Da un punto di vista organizzativo: 21 gli appuntamenti organizzati da federazioni e Leghe; 12 da enti di promozione sportiva; 22 da associazioni sportive e 26 da organizzazioni private. </w:t>
      </w:r>
    </w:p>
    <w:p w14:paraId="49994A69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sottolineare la </w:t>
      </w:r>
      <w:r>
        <w:rPr>
          <w:rFonts w:cstheme="minorHAnsi"/>
          <w:b/>
          <w:bCs/>
          <w:sz w:val="24"/>
          <w:szCs w:val="24"/>
        </w:rPr>
        <w:t>diffusione capillare sul territorio</w:t>
      </w:r>
      <w:r>
        <w:rPr>
          <w:rFonts w:cstheme="minorHAnsi"/>
          <w:sz w:val="24"/>
          <w:szCs w:val="24"/>
        </w:rPr>
        <w:t xml:space="preserve">, anche considerando il fatto che diversi appuntamenti, si sono svolti su più impianti e hanno coinvolto diverse province, come nel caso delle gare ciclistiche. La concentrazione più alta si è avuta nella Riviera romagnola. </w:t>
      </w:r>
    </w:p>
    <w:p w14:paraId="18C87105" w14:textId="77777777" w:rsidR="00105774" w:rsidRDefault="00105774" w:rsidP="0010577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Diversificata la provenienza</w:t>
      </w:r>
      <w:r>
        <w:rPr>
          <w:rFonts w:cstheme="minorHAnsi"/>
          <w:sz w:val="24"/>
          <w:szCs w:val="24"/>
        </w:rPr>
        <w:t xml:space="preserve"> di atleti e spettatori. Per i primi è nel 31,8% dei casi internazionale, nel 58,8 dei casi nazionale, nel 9,4% regionale. Per i secondi le percentuali sono rispettivamente le seguenti: 9,9%, 37,7%, 52,4%.</w:t>
      </w:r>
    </w:p>
    <w:p w14:paraId="36B63D35" w14:textId="77777777" w:rsidR="00924E89" w:rsidRDefault="00924E89"/>
    <w:sectPr w:rsidR="00924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74"/>
    <w:rsid w:val="00105774"/>
    <w:rsid w:val="004A3143"/>
    <w:rsid w:val="009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D22D"/>
  <w15:chartTrackingRefBased/>
  <w15:docId w15:val="{1DACC072-955E-4070-9BCA-AD6AB27A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7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2023-11-20T10:53:00Z</dcterms:created>
  <dcterms:modified xsi:type="dcterms:W3CDTF">2023-11-20T10:54:00Z</dcterms:modified>
</cp:coreProperties>
</file>