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F5273" w14:textId="152C33AE" w:rsidR="00E43D2D" w:rsidRDefault="00E43D2D" w:rsidP="00E43D2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Il supporto dei partner</w:t>
      </w:r>
    </w:p>
    <w:p w14:paraId="4F4CB94B" w14:textId="77777777" w:rsidR="00E43D2D" w:rsidRDefault="00E43D2D" w:rsidP="00E43D2D">
      <w:pPr>
        <w:pStyle w:val="Default"/>
        <w:rPr>
          <w:sz w:val="23"/>
          <w:szCs w:val="23"/>
        </w:rPr>
      </w:pPr>
    </w:p>
    <w:p w14:paraId="0143C3C2" w14:textId="2E3556B9" w:rsidR="00E43D2D" w:rsidRDefault="00E43D2D" w:rsidP="00E43D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Anche quest'anno, il </w:t>
      </w:r>
      <w:r>
        <w:rPr>
          <w:b/>
          <w:bCs/>
          <w:sz w:val="23"/>
          <w:szCs w:val="23"/>
        </w:rPr>
        <w:t xml:space="preserve">Gruppo Hera è al fianco della Davis Cup come </w:t>
      </w:r>
      <w:proofErr w:type="spellStart"/>
      <w:r>
        <w:rPr>
          <w:b/>
          <w:bCs/>
          <w:sz w:val="23"/>
          <w:szCs w:val="23"/>
        </w:rPr>
        <w:t>Regional</w:t>
      </w:r>
      <w:proofErr w:type="spellEnd"/>
      <w:r>
        <w:rPr>
          <w:b/>
          <w:bCs/>
          <w:sz w:val="23"/>
          <w:szCs w:val="23"/>
        </w:rPr>
        <w:t xml:space="preserve"> Partner </w:t>
      </w:r>
      <w:r>
        <w:rPr>
          <w:sz w:val="23"/>
          <w:szCs w:val="23"/>
        </w:rPr>
        <w:t xml:space="preserve">della manifestazione. Il Gruppo </w:t>
      </w:r>
      <w:r>
        <w:rPr>
          <w:b/>
          <w:bCs/>
          <w:sz w:val="23"/>
          <w:szCs w:val="23"/>
        </w:rPr>
        <w:t>Hera è una delle maggiori multiutility italiane e opera nei settori ambiente, energia e idrico</w:t>
      </w:r>
      <w:r>
        <w:rPr>
          <w:sz w:val="23"/>
          <w:szCs w:val="23"/>
        </w:rPr>
        <w:t xml:space="preserve">, con oltre 10.000 dipendenti, impegnati ogni giorno nel rispondere ai molteplici bisogni di circa 5 milioni di cittadini localizzati prevalentemente in Emilia-Romagna, Veneto, Friuli-Venezia Giulia, Marche, Toscana e Abruzzo. Quotata dal 2003, è tra le prime 40 società italiane per capitalizzazione (fa parte dell’indice Ftse Mib) e dal 2020 è entrata nel Dow Jones </w:t>
      </w:r>
      <w:proofErr w:type="spellStart"/>
      <w:r>
        <w:rPr>
          <w:sz w:val="23"/>
          <w:szCs w:val="23"/>
        </w:rPr>
        <w:t>Sustainability</w:t>
      </w:r>
      <w:proofErr w:type="spellEnd"/>
      <w:r>
        <w:rPr>
          <w:sz w:val="23"/>
          <w:szCs w:val="23"/>
        </w:rPr>
        <w:t xml:space="preserve"> Index</w:t>
      </w:r>
      <w:r>
        <w:rPr>
          <w:i/>
          <w:iCs/>
          <w:sz w:val="23"/>
          <w:szCs w:val="23"/>
        </w:rPr>
        <w:t xml:space="preserve">, </w:t>
      </w:r>
      <w:r>
        <w:rPr>
          <w:sz w:val="23"/>
          <w:szCs w:val="23"/>
        </w:rPr>
        <w:t xml:space="preserve">World </w:t>
      </w:r>
      <w:proofErr w:type="gramStart"/>
      <w:r>
        <w:rPr>
          <w:sz w:val="23"/>
          <w:szCs w:val="23"/>
        </w:rPr>
        <w:t>e</w:t>
      </w:r>
      <w:proofErr w:type="gramEnd"/>
      <w:r>
        <w:rPr>
          <w:sz w:val="23"/>
          <w:szCs w:val="23"/>
        </w:rPr>
        <w:t xml:space="preserve"> Europe. </w:t>
      </w:r>
    </w:p>
    <w:p w14:paraId="1FB9A62C" w14:textId="77777777" w:rsidR="00E43D2D" w:rsidRDefault="00E43D2D" w:rsidP="00E43D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Accanto a Hera, </w:t>
      </w:r>
      <w:proofErr w:type="spellStart"/>
      <w:r>
        <w:rPr>
          <w:sz w:val="23"/>
          <w:szCs w:val="23"/>
        </w:rPr>
        <w:t>Regional</w:t>
      </w:r>
      <w:proofErr w:type="spellEnd"/>
      <w:r>
        <w:rPr>
          <w:sz w:val="23"/>
          <w:szCs w:val="23"/>
        </w:rPr>
        <w:t xml:space="preserve"> Partner dell’edizione 2024, l’evento è reso possibile anche dal prezioso supporto di una solida ‘famiglia’ di Partner: </w:t>
      </w:r>
      <w:proofErr w:type="spellStart"/>
      <w:proofErr w:type="gramStart"/>
      <w:r>
        <w:rPr>
          <w:b/>
          <w:bCs/>
          <w:sz w:val="23"/>
          <w:szCs w:val="23"/>
        </w:rPr>
        <w:t>LavoroPiù</w:t>
      </w:r>
      <w:proofErr w:type="spellEnd"/>
      <w:proofErr w:type="gram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si conferma Team Sponsor della Nazionale di Davis Cup, </w:t>
      </w:r>
      <w:r>
        <w:rPr>
          <w:b/>
          <w:bCs/>
          <w:sz w:val="23"/>
          <w:szCs w:val="23"/>
        </w:rPr>
        <w:t xml:space="preserve">Joma </w:t>
      </w:r>
      <w:r>
        <w:rPr>
          <w:sz w:val="23"/>
          <w:szCs w:val="23"/>
        </w:rPr>
        <w:t xml:space="preserve">Official </w:t>
      </w:r>
      <w:proofErr w:type="spellStart"/>
      <w:r>
        <w:rPr>
          <w:sz w:val="23"/>
          <w:szCs w:val="23"/>
        </w:rPr>
        <w:t>Outfitter</w:t>
      </w:r>
      <w:proofErr w:type="spellEnd"/>
      <w:r>
        <w:rPr>
          <w:sz w:val="23"/>
          <w:szCs w:val="23"/>
        </w:rPr>
        <w:t xml:space="preserve"> del team nazionale, mentre </w:t>
      </w:r>
      <w:r>
        <w:rPr>
          <w:b/>
          <w:bCs/>
          <w:sz w:val="23"/>
          <w:szCs w:val="23"/>
        </w:rPr>
        <w:t>Technogym</w:t>
      </w:r>
      <w:r>
        <w:rPr>
          <w:sz w:val="23"/>
          <w:szCs w:val="23"/>
        </w:rPr>
        <w:t xml:space="preserve">, </w:t>
      </w:r>
      <w:r>
        <w:rPr>
          <w:b/>
          <w:bCs/>
          <w:sz w:val="23"/>
          <w:szCs w:val="23"/>
        </w:rPr>
        <w:t>TicketOne</w:t>
      </w:r>
      <w:r>
        <w:rPr>
          <w:sz w:val="23"/>
          <w:szCs w:val="23"/>
        </w:rPr>
        <w:t xml:space="preserve">, </w:t>
      </w:r>
      <w:r>
        <w:rPr>
          <w:b/>
          <w:bCs/>
          <w:sz w:val="23"/>
          <w:szCs w:val="23"/>
        </w:rPr>
        <w:t xml:space="preserve">Valmora, Villa Antinori </w:t>
      </w:r>
      <w:r>
        <w:rPr>
          <w:sz w:val="23"/>
          <w:szCs w:val="23"/>
        </w:rPr>
        <w:t xml:space="preserve">saranno gli Official Supplier. </w:t>
      </w:r>
      <w:r>
        <w:rPr>
          <w:b/>
          <w:bCs/>
          <w:sz w:val="23"/>
          <w:szCs w:val="23"/>
        </w:rPr>
        <w:t>RTL 102.5</w:t>
      </w:r>
      <w:r>
        <w:rPr>
          <w:sz w:val="23"/>
          <w:szCs w:val="23"/>
        </w:rPr>
        <w:t xml:space="preserve">, </w:t>
      </w:r>
      <w:r>
        <w:rPr>
          <w:b/>
          <w:bCs/>
          <w:sz w:val="23"/>
          <w:szCs w:val="23"/>
        </w:rPr>
        <w:t xml:space="preserve">La Stampa </w:t>
      </w:r>
      <w:r>
        <w:rPr>
          <w:sz w:val="23"/>
          <w:szCs w:val="23"/>
        </w:rPr>
        <w:t xml:space="preserve">e </w:t>
      </w:r>
      <w:proofErr w:type="gramStart"/>
      <w:r>
        <w:rPr>
          <w:b/>
          <w:bCs/>
          <w:sz w:val="23"/>
          <w:szCs w:val="23"/>
        </w:rPr>
        <w:t>TuttoSport</w:t>
      </w:r>
      <w:proofErr w:type="gram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sono i Media Partner dell’evento. </w:t>
      </w:r>
    </w:p>
    <w:p w14:paraId="0A970C9C" w14:textId="77777777" w:rsidR="00E43D2D" w:rsidRDefault="00E43D2D" w:rsidP="00E43D2D">
      <w:pPr>
        <w:pStyle w:val="Default"/>
        <w:rPr>
          <w:sz w:val="23"/>
          <w:szCs w:val="23"/>
        </w:rPr>
      </w:pPr>
    </w:p>
    <w:p w14:paraId="2CC10A3A" w14:textId="77777777" w:rsidR="00E43D2D" w:rsidRDefault="00E43D2D" w:rsidP="00E43D2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Biglietteria</w:t>
      </w:r>
    </w:p>
    <w:p w14:paraId="5CD1B771" w14:textId="77777777" w:rsidR="00E43D2D" w:rsidRDefault="00E43D2D" w:rsidP="00E43D2D">
      <w:pPr>
        <w:pStyle w:val="Default"/>
        <w:rPr>
          <w:sz w:val="23"/>
          <w:szCs w:val="23"/>
        </w:rPr>
      </w:pPr>
    </w:p>
    <w:p w14:paraId="30289E68" w14:textId="75125EF4" w:rsidR="00E43D2D" w:rsidRDefault="00E43D2D" w:rsidP="00E43D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</w:t>
      </w:r>
      <w:r>
        <w:rPr>
          <w:sz w:val="23"/>
          <w:szCs w:val="23"/>
        </w:rPr>
        <w:t xml:space="preserve">ifosi e appassionati possono acquistare i biglietti per le sfide in programma alla ‘Unipol Arena’ di Casalecchio di Reno sul sito di </w:t>
      </w:r>
      <w:r>
        <w:rPr>
          <w:b/>
          <w:bCs/>
          <w:sz w:val="23"/>
          <w:szCs w:val="23"/>
        </w:rPr>
        <w:t>ticketing ufficiale dell’evento</w:t>
      </w:r>
      <w:r>
        <w:rPr>
          <w:sz w:val="23"/>
          <w:szCs w:val="23"/>
        </w:rPr>
        <w:t xml:space="preserve">, raggiungibile al seguente link </w:t>
      </w:r>
      <w:r>
        <w:rPr>
          <w:b/>
          <w:bCs/>
          <w:sz w:val="23"/>
          <w:szCs w:val="23"/>
        </w:rPr>
        <w:t xml:space="preserve">https://tickets.italy.daviscup.com/it </w:t>
      </w:r>
      <w:r>
        <w:rPr>
          <w:sz w:val="23"/>
          <w:szCs w:val="23"/>
        </w:rPr>
        <w:t xml:space="preserve">e su quello di </w:t>
      </w:r>
      <w:r>
        <w:rPr>
          <w:i/>
          <w:iCs/>
          <w:sz w:val="23"/>
          <w:szCs w:val="23"/>
        </w:rPr>
        <w:t xml:space="preserve">Ticketone </w:t>
      </w:r>
      <w:r>
        <w:rPr>
          <w:b/>
          <w:bCs/>
          <w:sz w:val="23"/>
          <w:szCs w:val="23"/>
        </w:rPr>
        <w:t>https://www.ticketone.it/artist/davis-cup-tennis/</w:t>
      </w:r>
      <w:r>
        <w:rPr>
          <w:sz w:val="23"/>
          <w:szCs w:val="23"/>
        </w:rPr>
        <w:t xml:space="preserve">. </w:t>
      </w:r>
    </w:p>
    <w:p w14:paraId="2151D882" w14:textId="77777777" w:rsidR="00E43D2D" w:rsidRDefault="00E43D2D" w:rsidP="00E43D2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Per i tesserati </w:t>
      </w:r>
      <w:r>
        <w:rPr>
          <w:sz w:val="23"/>
          <w:szCs w:val="23"/>
        </w:rPr>
        <w:t xml:space="preserve">della Federazione Italiana Tennis e Padel è previsto uno </w:t>
      </w:r>
      <w:r>
        <w:rPr>
          <w:b/>
          <w:bCs/>
          <w:sz w:val="23"/>
          <w:szCs w:val="23"/>
        </w:rPr>
        <w:t xml:space="preserve">sconto del 20% </w:t>
      </w:r>
      <w:r>
        <w:rPr>
          <w:sz w:val="23"/>
          <w:szCs w:val="23"/>
        </w:rPr>
        <w:t xml:space="preserve">sull’acquisto del singolo biglietto e uno </w:t>
      </w:r>
      <w:r>
        <w:rPr>
          <w:b/>
          <w:bCs/>
          <w:sz w:val="23"/>
          <w:szCs w:val="23"/>
        </w:rPr>
        <w:t xml:space="preserve">sconto del 10% </w:t>
      </w:r>
      <w:r>
        <w:rPr>
          <w:sz w:val="23"/>
          <w:szCs w:val="23"/>
        </w:rPr>
        <w:t xml:space="preserve">sull’acquisto dell’abbonamento. </w:t>
      </w:r>
    </w:p>
    <w:p w14:paraId="077447F1" w14:textId="77777777" w:rsidR="00E43D2D" w:rsidRDefault="00E43D2D" w:rsidP="00E43D2D">
      <w:pPr>
        <w:pStyle w:val="Default"/>
        <w:rPr>
          <w:b/>
          <w:bCs/>
          <w:sz w:val="23"/>
          <w:szCs w:val="23"/>
        </w:rPr>
      </w:pPr>
    </w:p>
    <w:p w14:paraId="5E543E2B" w14:textId="77777777" w:rsidR="00E43D2D" w:rsidRDefault="00E43D2D" w:rsidP="00E43D2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Copertura televisiva</w:t>
      </w:r>
    </w:p>
    <w:p w14:paraId="69451954" w14:textId="77777777" w:rsidR="00E43D2D" w:rsidRDefault="00E43D2D" w:rsidP="00E43D2D">
      <w:pPr>
        <w:pStyle w:val="Default"/>
        <w:rPr>
          <w:sz w:val="23"/>
          <w:szCs w:val="23"/>
        </w:rPr>
      </w:pPr>
    </w:p>
    <w:p w14:paraId="5BEBB174" w14:textId="223513CB" w:rsidR="00E43D2D" w:rsidRDefault="00E43D2D" w:rsidP="00E43D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Tutti i match dell'Italia saranno trasmessi in diretta da Rai Due (i doppi soltanto se decisivi). Gli altri incontri del Gruppo A saranno coperti (diretta o differita) tra Rai Sport e Rai Play in base alla concomitanza con altri eventi e necessità di palinsesto. </w:t>
      </w:r>
    </w:p>
    <w:p w14:paraId="7C039680" w14:textId="77777777" w:rsidR="00E43D2D" w:rsidRDefault="00E43D2D" w:rsidP="00E43D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Tutte le partite in programma a Bologna, a partire da quelle dell'Italia, saranno inoltre in diretta anche su </w:t>
      </w:r>
      <w:proofErr w:type="spellStart"/>
      <w:r>
        <w:rPr>
          <w:sz w:val="23"/>
          <w:szCs w:val="23"/>
        </w:rPr>
        <w:t>Sky</w:t>
      </w:r>
      <w:proofErr w:type="spellEnd"/>
      <w:r>
        <w:rPr>
          <w:sz w:val="23"/>
          <w:szCs w:val="23"/>
        </w:rPr>
        <w:t xml:space="preserve"> Sport. </w:t>
      </w:r>
    </w:p>
    <w:p w14:paraId="29B2C982" w14:textId="30B1AF7A" w:rsidR="00F02DD1" w:rsidRPr="00E43D2D" w:rsidRDefault="00E43D2D" w:rsidP="00E43D2D">
      <w:r>
        <w:rPr>
          <w:sz w:val="23"/>
          <w:szCs w:val="23"/>
        </w:rPr>
        <w:t xml:space="preserve">Infine, per chi non volesse perdere nemmeno un 15 del Group Stage, tutti gli incontri di tutti e quattro i Gruppi della fase a gironi della Coppa Davis 2024 saranno disponibili in streaming sulla piattaforma digitale della FITP, </w:t>
      </w:r>
      <w:proofErr w:type="spellStart"/>
      <w:r>
        <w:rPr>
          <w:sz w:val="23"/>
          <w:szCs w:val="23"/>
        </w:rPr>
        <w:t>SuperTennix</w:t>
      </w:r>
      <w:proofErr w:type="spellEnd"/>
      <w:r>
        <w:rPr>
          <w:sz w:val="23"/>
          <w:szCs w:val="23"/>
        </w:rPr>
        <w:t>.</w:t>
      </w:r>
    </w:p>
    <w:sectPr w:rsidR="00F02DD1" w:rsidRPr="00E43D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64"/>
    <w:rsid w:val="00423825"/>
    <w:rsid w:val="00821564"/>
    <w:rsid w:val="00821A9C"/>
    <w:rsid w:val="00CF0137"/>
    <w:rsid w:val="00E43D2D"/>
    <w:rsid w:val="00F0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138D4"/>
  <w15:chartTrackingRefBased/>
  <w15:docId w15:val="{CFB696E2-9981-4796-AC4C-660E7D49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1564"/>
    <w:pPr>
      <w:spacing w:after="0" w:line="240" w:lineRule="auto"/>
    </w:pPr>
    <w:rPr>
      <w:rFonts w:eastAsiaTheme="minorEastAsi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215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215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2156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2156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156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1564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21564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21564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21564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15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215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215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2156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156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156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2156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2156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2156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15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21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156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1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2156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2156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21564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Enfasiintensa">
    <w:name w:val="Intense Emphasis"/>
    <w:basedOn w:val="Carpredefinitoparagrafo"/>
    <w:uiPriority w:val="21"/>
    <w:qFormat/>
    <w:rsid w:val="0082156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1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156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2156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21564"/>
    <w:rPr>
      <w:color w:val="467886" w:themeColor="hyperlink"/>
      <w:u w:val="single"/>
    </w:rPr>
  </w:style>
  <w:style w:type="paragraph" w:customStyle="1" w:styleId="Default">
    <w:name w:val="Default"/>
    <w:rsid w:val="00E43D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1876</Characters>
  <Application>Microsoft Office Word</Application>
  <DocSecurity>0</DocSecurity>
  <Lines>15</Lines>
  <Paragraphs>4</Paragraphs>
  <ScaleCrop>false</ScaleCrop>
  <Company>Regione Emilia-Romagna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2</cp:revision>
  <dcterms:created xsi:type="dcterms:W3CDTF">2024-08-30T09:00:00Z</dcterms:created>
  <dcterms:modified xsi:type="dcterms:W3CDTF">2024-08-30T09:00:00Z</dcterms:modified>
</cp:coreProperties>
</file>