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59C52D" w14:textId="75C75C8E" w:rsidR="006A02AB" w:rsidRPr="006A02AB" w:rsidRDefault="006A02AB" w:rsidP="006A02AB">
      <w:pPr>
        <w:spacing w:after="0" w:line="240" w:lineRule="auto"/>
        <w:jc w:val="both"/>
        <w:rPr>
          <w:rFonts w:ascii="Calibri" w:hAnsi="Calibri" w:cs="Calibri"/>
          <w:b/>
          <w:bCs/>
          <w:kern w:val="0"/>
          <w:sz w:val="24"/>
          <w:szCs w:val="24"/>
          <w14:ligatures w14:val="none"/>
        </w:rPr>
      </w:pPr>
      <w:r w:rsidRPr="006A02AB">
        <w:rPr>
          <w:rFonts w:ascii="Calibri" w:hAnsi="Calibri" w:cs="Calibri"/>
          <w:b/>
          <w:bCs/>
          <w:kern w:val="0"/>
          <w:sz w:val="24"/>
          <w:szCs w:val="24"/>
          <w14:ligatures w14:val="none"/>
        </w:rPr>
        <w:t>Scheda</w:t>
      </w:r>
      <w:r>
        <w:rPr>
          <w:rFonts w:ascii="Calibri" w:hAnsi="Calibri" w:cs="Calibri"/>
          <w:b/>
          <w:bCs/>
          <w:kern w:val="0"/>
          <w:sz w:val="24"/>
          <w:szCs w:val="24"/>
          <w14:ligatures w14:val="none"/>
        </w:rPr>
        <w:t>/D</w:t>
      </w:r>
      <w:r w:rsidRPr="006A02AB">
        <w:rPr>
          <w:rFonts w:ascii="Calibri" w:hAnsi="Calibri" w:cs="Calibri"/>
          <w:b/>
          <w:bCs/>
          <w:kern w:val="0"/>
          <w:sz w:val="24"/>
          <w:szCs w:val="24"/>
          <w14:ligatures w14:val="none"/>
        </w:rPr>
        <w:t>alla prima fase emergenziale a oggi</w:t>
      </w:r>
    </w:p>
    <w:p w14:paraId="6FEE3BB1" w14:textId="77777777" w:rsidR="006A02AB" w:rsidRPr="006A02AB" w:rsidRDefault="006A02AB" w:rsidP="006A02AB">
      <w:pPr>
        <w:spacing w:after="0" w:line="240" w:lineRule="auto"/>
        <w:jc w:val="both"/>
        <w:rPr>
          <w:rFonts w:ascii="Calibri" w:hAnsi="Calibri" w:cs="Calibri"/>
          <w:b/>
          <w:bCs/>
          <w:kern w:val="0"/>
          <w:sz w:val="24"/>
          <w:szCs w:val="24"/>
          <w14:ligatures w14:val="none"/>
        </w:rPr>
      </w:pPr>
    </w:p>
    <w:p w14:paraId="2174E82B" w14:textId="77777777" w:rsidR="006A02AB" w:rsidRPr="006A02AB" w:rsidRDefault="006A02AB" w:rsidP="006A02AB">
      <w:pPr>
        <w:spacing w:after="0" w:line="240" w:lineRule="auto"/>
        <w:jc w:val="both"/>
        <w:rPr>
          <w:rFonts w:ascii="Calibri" w:hAnsi="Calibri" w:cs="Calibri"/>
          <w:kern w:val="0"/>
          <w:sz w:val="24"/>
          <w:szCs w:val="24"/>
          <w14:ligatures w14:val="none"/>
        </w:rPr>
      </w:pPr>
      <w:r w:rsidRPr="006A02AB">
        <w:rPr>
          <w:rFonts w:ascii="Calibri" w:hAnsi="Calibri" w:cs="Calibri"/>
          <w:kern w:val="0"/>
          <w:sz w:val="24"/>
          <w:szCs w:val="24"/>
          <w14:ligatures w14:val="none"/>
        </w:rPr>
        <w:t xml:space="preserve">Da subito </w:t>
      </w:r>
      <w:r w:rsidRPr="006A02AB">
        <w:rPr>
          <w:rFonts w:ascii="Calibri" w:hAnsi="Calibri" w:cs="Calibri"/>
          <w:b/>
          <w:bCs/>
          <w:kern w:val="0"/>
          <w:sz w:val="24"/>
          <w:szCs w:val="24"/>
          <w14:ligatures w14:val="none"/>
        </w:rPr>
        <w:t xml:space="preserve">l’attività di </w:t>
      </w:r>
      <w:proofErr w:type="spellStart"/>
      <w:r w:rsidRPr="006A02AB">
        <w:rPr>
          <w:rFonts w:ascii="Calibri" w:hAnsi="Calibri" w:cs="Calibri"/>
          <w:b/>
          <w:bCs/>
          <w:kern w:val="0"/>
          <w:sz w:val="24"/>
          <w:szCs w:val="24"/>
          <w14:ligatures w14:val="none"/>
        </w:rPr>
        <w:t>Arpae</w:t>
      </w:r>
      <w:proofErr w:type="spellEnd"/>
      <w:r w:rsidRPr="006A02AB">
        <w:rPr>
          <w:rFonts w:ascii="Calibri" w:hAnsi="Calibri" w:cs="Calibri"/>
          <w:kern w:val="0"/>
          <w:sz w:val="24"/>
          <w:szCs w:val="24"/>
          <w14:ligatures w14:val="none"/>
        </w:rPr>
        <w:t xml:space="preserve"> si è concentrata sull’</w:t>
      </w:r>
      <w:r w:rsidRPr="006A02AB">
        <w:rPr>
          <w:rFonts w:ascii="Calibri" w:hAnsi="Calibri" w:cs="Calibri"/>
          <w:b/>
          <w:kern w:val="0"/>
          <w:sz w:val="24"/>
          <w:szCs w:val="24"/>
          <w14:ligatures w14:val="none"/>
        </w:rPr>
        <w:t>analisi dell’acqua presente all’interno della centrale</w:t>
      </w:r>
      <w:r w:rsidRPr="006A02AB">
        <w:rPr>
          <w:rFonts w:ascii="Calibri" w:hAnsi="Calibri" w:cs="Calibri"/>
          <w:kern w:val="0"/>
          <w:sz w:val="24"/>
          <w:szCs w:val="24"/>
          <w14:ligatures w14:val="none"/>
        </w:rPr>
        <w:t xml:space="preserve"> (che si sviluppa per diverse decine di metri sotto il livello dell’acqua dell’invaso) per </w:t>
      </w:r>
      <w:r w:rsidRPr="006A02AB">
        <w:rPr>
          <w:rFonts w:ascii="Calibri" w:hAnsi="Calibri" w:cs="Calibri"/>
          <w:bCs/>
          <w:kern w:val="0"/>
          <w:sz w:val="24"/>
          <w:szCs w:val="24"/>
          <w14:ligatures w14:val="none"/>
        </w:rPr>
        <w:t>supportare l’attività dei Vigili del fuoco,</w:t>
      </w:r>
      <w:r w:rsidRPr="006A02AB">
        <w:rPr>
          <w:rFonts w:ascii="Calibri" w:hAnsi="Calibri" w:cs="Calibri"/>
          <w:kern w:val="0"/>
          <w:sz w:val="24"/>
          <w:szCs w:val="24"/>
          <w14:ligatures w14:val="none"/>
        </w:rPr>
        <w:t xml:space="preserve"> a tutela della salute e sicurezza dei sommozzatori, e in alcuni punti esterni sulle acque del bacino.</w:t>
      </w:r>
    </w:p>
    <w:p w14:paraId="7735CB7D" w14:textId="77777777" w:rsidR="006A02AB" w:rsidRPr="006A02AB" w:rsidRDefault="006A02AB" w:rsidP="006A02AB">
      <w:pPr>
        <w:spacing w:before="100" w:beforeAutospacing="1"/>
        <w:jc w:val="both"/>
        <w:rPr>
          <w:rFonts w:ascii="Calibri" w:hAnsi="Calibri" w:cs="Calibri"/>
          <w:kern w:val="0"/>
          <w:sz w:val="24"/>
          <w:szCs w:val="24"/>
          <w14:ligatures w14:val="none"/>
        </w:rPr>
      </w:pPr>
      <w:r w:rsidRPr="006A02AB">
        <w:rPr>
          <w:rFonts w:ascii="Calibri" w:hAnsi="Calibri" w:cs="Calibri"/>
          <w:kern w:val="0"/>
          <w:sz w:val="24"/>
          <w:szCs w:val="24"/>
          <w14:ligatures w14:val="none"/>
        </w:rPr>
        <w:t xml:space="preserve">Le </w:t>
      </w:r>
      <w:r w:rsidRPr="006A02AB">
        <w:rPr>
          <w:rFonts w:ascii="Calibri" w:hAnsi="Calibri" w:cs="Calibri"/>
          <w:bCs/>
          <w:kern w:val="0"/>
          <w:sz w:val="24"/>
          <w:szCs w:val="24"/>
          <w14:ligatures w14:val="none"/>
        </w:rPr>
        <w:t>prime analisi</w:t>
      </w:r>
      <w:r w:rsidRPr="006A02AB">
        <w:rPr>
          <w:rFonts w:ascii="Calibri" w:hAnsi="Calibri" w:cs="Calibri"/>
          <w:kern w:val="0"/>
          <w:sz w:val="24"/>
          <w:szCs w:val="24"/>
          <w14:ligatures w14:val="none"/>
        </w:rPr>
        <w:t xml:space="preserve"> effettuate a partire dal 10 aprile, hanno riscontrato nelle acque confinate all'interno della centrale </w:t>
      </w:r>
      <w:r w:rsidRPr="006A02AB">
        <w:rPr>
          <w:rFonts w:ascii="Calibri" w:hAnsi="Calibri" w:cs="Calibri"/>
          <w:b/>
          <w:bCs/>
          <w:kern w:val="0"/>
          <w:sz w:val="24"/>
          <w:szCs w:val="24"/>
          <w14:ligatures w14:val="none"/>
        </w:rPr>
        <w:t>elevati livelli di</w:t>
      </w:r>
      <w:r w:rsidRPr="006A02AB">
        <w:rPr>
          <w:rFonts w:ascii="Calibri" w:hAnsi="Calibri" w:cs="Calibri"/>
          <w:kern w:val="0"/>
          <w:sz w:val="24"/>
          <w:szCs w:val="24"/>
          <w14:ligatures w14:val="none"/>
        </w:rPr>
        <w:t xml:space="preserve"> </w:t>
      </w:r>
      <w:r w:rsidRPr="006A02AB">
        <w:rPr>
          <w:rFonts w:ascii="Calibri" w:hAnsi="Calibri" w:cs="Calibri"/>
          <w:b/>
          <w:bCs/>
          <w:kern w:val="0"/>
          <w:sz w:val="24"/>
          <w:szCs w:val="24"/>
          <w14:ligatures w14:val="none"/>
        </w:rPr>
        <w:t>idrocarburi</w:t>
      </w:r>
      <w:r w:rsidRPr="006A02AB">
        <w:rPr>
          <w:rFonts w:ascii="Calibri" w:hAnsi="Calibri" w:cs="Calibri"/>
          <w:kern w:val="0"/>
          <w:sz w:val="24"/>
          <w:szCs w:val="24"/>
          <w14:ligatures w14:val="none"/>
        </w:rPr>
        <w:t>,</w:t>
      </w:r>
      <w:r w:rsidRPr="006A02AB">
        <w:rPr>
          <w:rFonts w:ascii="Calibri" w:hAnsi="Calibri" w:cs="Calibri"/>
          <w:b/>
          <w:bCs/>
          <w:kern w:val="0"/>
          <w:sz w:val="24"/>
          <w:szCs w:val="24"/>
          <w14:ligatures w14:val="none"/>
        </w:rPr>
        <w:t> presenza</w:t>
      </w:r>
      <w:r w:rsidRPr="006A02AB">
        <w:rPr>
          <w:rFonts w:ascii="Calibri" w:hAnsi="Calibri" w:cs="Calibri"/>
          <w:kern w:val="0"/>
          <w:sz w:val="24"/>
          <w:szCs w:val="24"/>
          <w14:ligatures w14:val="none"/>
        </w:rPr>
        <w:t xml:space="preserve"> di alcuni </w:t>
      </w:r>
      <w:r w:rsidRPr="006A02AB">
        <w:rPr>
          <w:rFonts w:ascii="Calibri" w:hAnsi="Calibri" w:cs="Calibri"/>
          <w:b/>
          <w:bCs/>
          <w:kern w:val="0"/>
          <w:sz w:val="24"/>
          <w:szCs w:val="24"/>
          <w14:ligatures w14:val="none"/>
        </w:rPr>
        <w:t>metalli</w:t>
      </w:r>
      <w:r w:rsidRPr="006A02AB">
        <w:rPr>
          <w:rFonts w:ascii="Calibri" w:hAnsi="Calibri" w:cs="Calibri"/>
          <w:kern w:val="0"/>
          <w:sz w:val="24"/>
          <w:szCs w:val="24"/>
          <w14:ligatures w14:val="none"/>
        </w:rPr>
        <w:t xml:space="preserve"> (piombo, cadmio, cromo, antimonio, zinco, nichel, rame) in concentrazione </w:t>
      </w:r>
      <w:r w:rsidRPr="006A02AB">
        <w:rPr>
          <w:rFonts w:ascii="Calibri" w:hAnsi="Calibri" w:cs="Calibri"/>
          <w:bCs/>
          <w:kern w:val="0"/>
          <w:sz w:val="24"/>
          <w:szCs w:val="24"/>
          <w14:ligatures w14:val="none"/>
        </w:rPr>
        <w:t>significative per</w:t>
      </w:r>
      <w:r w:rsidRPr="006A02AB">
        <w:rPr>
          <w:rFonts w:ascii="Calibri" w:hAnsi="Calibri" w:cs="Calibri"/>
          <w:b/>
          <w:bCs/>
          <w:kern w:val="0"/>
          <w:sz w:val="24"/>
          <w:szCs w:val="24"/>
          <w14:ligatures w14:val="none"/>
        </w:rPr>
        <w:t xml:space="preserve"> zinco, antimonio e piombo</w:t>
      </w:r>
      <w:r w:rsidRPr="006A02AB">
        <w:rPr>
          <w:rFonts w:ascii="Calibri" w:hAnsi="Calibri" w:cs="Calibri"/>
          <w:kern w:val="0"/>
          <w:sz w:val="24"/>
          <w:szCs w:val="24"/>
          <w14:ligatures w14:val="none"/>
        </w:rPr>
        <w:t>. </w:t>
      </w:r>
    </w:p>
    <w:p w14:paraId="71FBE34B" w14:textId="77777777" w:rsidR="006A02AB" w:rsidRPr="006A02AB" w:rsidRDefault="006A02AB" w:rsidP="006A02AB">
      <w:pPr>
        <w:spacing w:after="0" w:line="240" w:lineRule="auto"/>
        <w:jc w:val="both"/>
        <w:rPr>
          <w:rFonts w:ascii="Calibri" w:hAnsi="Calibri" w:cs="Calibri"/>
          <w:kern w:val="0"/>
          <w:sz w:val="24"/>
          <w:szCs w:val="24"/>
          <w14:ligatures w14:val="none"/>
        </w:rPr>
      </w:pPr>
      <w:r w:rsidRPr="006A02AB">
        <w:rPr>
          <w:rFonts w:ascii="Calibri" w:hAnsi="Calibri" w:cs="Calibri"/>
          <w:kern w:val="0"/>
          <w:sz w:val="24"/>
          <w:szCs w:val="24"/>
          <w14:ligatures w14:val="none"/>
        </w:rPr>
        <w:t xml:space="preserve">Le analisi sulle </w:t>
      </w:r>
      <w:r w:rsidRPr="006A02AB">
        <w:rPr>
          <w:rFonts w:ascii="Calibri" w:hAnsi="Calibri" w:cs="Calibri"/>
          <w:b/>
          <w:kern w:val="0"/>
          <w:sz w:val="24"/>
          <w:szCs w:val="24"/>
          <w14:ligatures w14:val="none"/>
        </w:rPr>
        <w:t>acque del lago</w:t>
      </w:r>
      <w:r w:rsidRPr="006A02AB">
        <w:rPr>
          <w:rFonts w:ascii="Calibri" w:hAnsi="Calibri" w:cs="Calibri"/>
          <w:kern w:val="0"/>
          <w:sz w:val="24"/>
          <w:szCs w:val="24"/>
          <w14:ligatures w14:val="none"/>
        </w:rPr>
        <w:t xml:space="preserve"> hanno invece riscontrato la presenza di </w:t>
      </w:r>
      <w:r w:rsidRPr="006A02AB">
        <w:rPr>
          <w:rFonts w:ascii="Calibri" w:hAnsi="Calibri" w:cs="Calibri"/>
          <w:b/>
          <w:kern w:val="0"/>
          <w:sz w:val="24"/>
          <w:szCs w:val="24"/>
          <w14:ligatures w14:val="none"/>
        </w:rPr>
        <w:t>valori superiori ai limiti di quantificazione di idrocarburi</w:t>
      </w:r>
      <w:r w:rsidRPr="006A02AB">
        <w:rPr>
          <w:rFonts w:ascii="Calibri" w:hAnsi="Calibri" w:cs="Calibri"/>
          <w:kern w:val="0"/>
          <w:sz w:val="24"/>
          <w:szCs w:val="24"/>
          <w14:ligatures w14:val="none"/>
        </w:rPr>
        <w:t xml:space="preserve">, probabilmente correlabili alle prime fasi dell’incidente, mentre non sono state rilevate concentrazioni di metalli. Esclusa anche la </w:t>
      </w:r>
      <w:r w:rsidRPr="006A02AB">
        <w:rPr>
          <w:rFonts w:ascii="Calibri" w:hAnsi="Calibri" w:cs="Calibri"/>
          <w:b/>
          <w:kern w:val="0"/>
          <w:sz w:val="24"/>
          <w:szCs w:val="24"/>
          <w14:ligatures w14:val="none"/>
        </w:rPr>
        <w:t>presenza di fibre di amianto</w:t>
      </w:r>
      <w:r w:rsidRPr="006A02AB">
        <w:rPr>
          <w:rFonts w:ascii="Calibri" w:hAnsi="Calibri" w:cs="Calibri"/>
          <w:kern w:val="0"/>
          <w:sz w:val="24"/>
          <w:szCs w:val="24"/>
          <w14:ligatures w14:val="none"/>
        </w:rPr>
        <w:t>.</w:t>
      </w:r>
    </w:p>
    <w:p w14:paraId="674BB3C6" w14:textId="77777777" w:rsidR="006A02AB" w:rsidRPr="006A02AB" w:rsidRDefault="006A02AB" w:rsidP="006A02AB">
      <w:pPr>
        <w:spacing w:after="0" w:line="240" w:lineRule="auto"/>
        <w:jc w:val="both"/>
        <w:rPr>
          <w:rFonts w:ascii="Calibri" w:hAnsi="Calibri" w:cs="Calibri"/>
          <w:kern w:val="0"/>
          <w:sz w:val="24"/>
          <w:szCs w:val="24"/>
          <w:u w:val="single"/>
          <w14:ligatures w14:val="none"/>
        </w:rPr>
      </w:pPr>
    </w:p>
    <w:p w14:paraId="5E3C92C3" w14:textId="5BBD4DB0" w:rsidR="006A02AB" w:rsidRPr="006A02AB" w:rsidRDefault="006A02AB" w:rsidP="006A02AB">
      <w:pPr>
        <w:spacing w:after="0" w:line="240" w:lineRule="auto"/>
        <w:jc w:val="both"/>
        <w:rPr>
          <w:rFonts w:ascii="Calibri" w:hAnsi="Calibri" w:cs="Calibri"/>
          <w:kern w:val="0"/>
          <w:sz w:val="24"/>
          <w:szCs w:val="24"/>
          <w14:ligatures w14:val="none"/>
        </w:rPr>
      </w:pPr>
      <w:r w:rsidRPr="006A02AB">
        <w:rPr>
          <w:rFonts w:ascii="Calibri" w:hAnsi="Calibri" w:cs="Calibri"/>
          <w:kern w:val="0"/>
          <w:sz w:val="24"/>
          <w:szCs w:val="24"/>
          <w14:ligatures w14:val="none"/>
        </w:rPr>
        <w:t xml:space="preserve">L’attività di </w:t>
      </w:r>
      <w:r w:rsidRPr="006A02AB">
        <w:rPr>
          <w:rFonts w:ascii="Calibri" w:hAnsi="Calibri" w:cs="Calibri"/>
          <w:bCs/>
          <w:kern w:val="0"/>
          <w:sz w:val="24"/>
          <w:szCs w:val="24"/>
          <w14:ligatures w14:val="none"/>
        </w:rPr>
        <w:t xml:space="preserve">controllo e monitoraggio di </w:t>
      </w:r>
      <w:proofErr w:type="spellStart"/>
      <w:r w:rsidRPr="006A02AB">
        <w:rPr>
          <w:rFonts w:ascii="Calibri" w:hAnsi="Calibri" w:cs="Calibri"/>
          <w:bCs/>
          <w:kern w:val="0"/>
          <w:sz w:val="24"/>
          <w:szCs w:val="24"/>
          <w14:ligatures w14:val="none"/>
        </w:rPr>
        <w:t>Arpae</w:t>
      </w:r>
      <w:proofErr w:type="spellEnd"/>
      <w:r w:rsidRPr="006A02AB">
        <w:rPr>
          <w:rFonts w:ascii="Calibri" w:hAnsi="Calibri" w:cs="Calibri"/>
          <w:bCs/>
          <w:kern w:val="0"/>
          <w:sz w:val="24"/>
          <w:szCs w:val="24"/>
          <w14:ligatures w14:val="none"/>
        </w:rPr>
        <w:t xml:space="preserve"> è continuata</w:t>
      </w:r>
      <w:r w:rsidRPr="006A02AB">
        <w:rPr>
          <w:rFonts w:ascii="Calibri" w:hAnsi="Calibri" w:cs="Calibri"/>
          <w:kern w:val="0"/>
          <w:sz w:val="24"/>
          <w:szCs w:val="24"/>
          <w14:ligatures w14:val="none"/>
        </w:rPr>
        <w:t xml:space="preserve"> costantemente con </w:t>
      </w:r>
      <w:r w:rsidRPr="006A02AB">
        <w:rPr>
          <w:rFonts w:ascii="Calibri" w:hAnsi="Calibri" w:cs="Calibri"/>
          <w:b/>
          <w:kern w:val="0"/>
          <w:sz w:val="24"/>
          <w:szCs w:val="24"/>
          <w14:ligatures w14:val="none"/>
        </w:rPr>
        <w:t xml:space="preserve">5 giornate di rilevazione </w:t>
      </w:r>
      <w:r w:rsidRPr="006A02AB">
        <w:rPr>
          <w:rFonts w:ascii="Calibri" w:hAnsi="Calibri" w:cs="Calibri"/>
          <w:kern w:val="0"/>
          <w:sz w:val="24"/>
          <w:szCs w:val="24"/>
          <w14:ligatures w14:val="none"/>
        </w:rPr>
        <w:t xml:space="preserve">a partire dal 19 aprile fino al 6 giugno che </w:t>
      </w:r>
      <w:r w:rsidRPr="006A02AB">
        <w:rPr>
          <w:rFonts w:ascii="Calibri" w:eastAsia="Times New Roman" w:hAnsi="Calibri" w:cs="Calibri"/>
          <w:kern w:val="0"/>
          <w:sz w:val="24"/>
          <w:szCs w:val="24"/>
          <w:lang w:eastAsia="it-IT"/>
          <w14:ligatures w14:val="none"/>
        </w:rPr>
        <w:t xml:space="preserve">hanno riguardato campionamenti ed analisi delle acque all'interno del pozzo a diverse profondità (-1,-15 e -30 m) e in 4 differenti </w:t>
      </w:r>
      <w:r w:rsidRPr="006A02AB">
        <w:rPr>
          <w:rFonts w:ascii="Calibri" w:hAnsi="Calibri" w:cs="Calibri"/>
          <w:kern w:val="0"/>
          <w:sz w:val="24"/>
          <w:szCs w:val="24"/>
          <w14:ligatures w14:val="none"/>
        </w:rPr>
        <w:t xml:space="preserve">punti di rilevazione: interno della centrale (solo in fase emergenziale); riva </w:t>
      </w:r>
      <w:r w:rsidR="0023146E">
        <w:rPr>
          <w:rFonts w:ascii="Calibri" w:hAnsi="Calibri" w:cs="Calibri"/>
          <w:kern w:val="0"/>
          <w:sz w:val="24"/>
          <w:szCs w:val="24"/>
          <w14:ligatures w14:val="none"/>
        </w:rPr>
        <w:t xml:space="preserve">del lago </w:t>
      </w:r>
      <w:r w:rsidRPr="006A02AB">
        <w:rPr>
          <w:rFonts w:ascii="Calibri" w:hAnsi="Calibri" w:cs="Calibri"/>
          <w:kern w:val="0"/>
          <w:sz w:val="24"/>
          <w:szCs w:val="24"/>
          <w14:ligatures w14:val="none"/>
        </w:rPr>
        <w:t xml:space="preserve">in prossimità della centrale; centro del bacino; in prossimità della diga di Suviana (punto di monitoraggio della rete regionale ambientale lacustre monitorato da </w:t>
      </w:r>
      <w:proofErr w:type="spellStart"/>
      <w:r w:rsidRPr="006A02AB">
        <w:rPr>
          <w:rFonts w:ascii="Calibri" w:hAnsi="Calibri" w:cs="Calibri"/>
          <w:kern w:val="0"/>
          <w:sz w:val="24"/>
          <w:szCs w:val="24"/>
          <w14:ligatures w14:val="none"/>
        </w:rPr>
        <w:t>Arpae</w:t>
      </w:r>
      <w:proofErr w:type="spellEnd"/>
      <w:r w:rsidRPr="006A02AB">
        <w:rPr>
          <w:rFonts w:ascii="Calibri" w:hAnsi="Calibri" w:cs="Calibri"/>
          <w:kern w:val="0"/>
          <w:sz w:val="24"/>
          <w:szCs w:val="24"/>
          <w14:ligatures w14:val="none"/>
        </w:rPr>
        <w:t xml:space="preserve"> e che quindi può contare su una serie storica di dati). </w:t>
      </w:r>
    </w:p>
    <w:p w14:paraId="54D728E4" w14:textId="77777777" w:rsidR="006A02AB" w:rsidRPr="006A02AB" w:rsidRDefault="006A02AB" w:rsidP="006A02AB">
      <w:pPr>
        <w:spacing w:after="0" w:line="240" w:lineRule="auto"/>
        <w:textAlignment w:val="baseline"/>
        <w:rPr>
          <w:rFonts w:ascii="Calibri" w:eastAsia="Times New Roman" w:hAnsi="Calibri" w:cs="Calibri"/>
          <w:kern w:val="0"/>
          <w:sz w:val="24"/>
          <w:szCs w:val="24"/>
          <w:lang w:eastAsia="it-IT"/>
          <w14:ligatures w14:val="none"/>
        </w:rPr>
      </w:pPr>
    </w:p>
    <w:p w14:paraId="5D489BCD" w14:textId="77777777" w:rsidR="006A02AB" w:rsidRPr="006A02AB" w:rsidRDefault="006A02AB" w:rsidP="006A02AB">
      <w:pPr>
        <w:spacing w:after="0" w:line="240" w:lineRule="auto"/>
        <w:jc w:val="both"/>
        <w:rPr>
          <w:rFonts w:ascii="Calibri" w:hAnsi="Calibri" w:cs="Calibri"/>
          <w:kern w:val="0"/>
          <w:sz w:val="24"/>
          <w:szCs w:val="24"/>
          <w14:ligatures w14:val="none"/>
        </w:rPr>
      </w:pPr>
      <w:r w:rsidRPr="006A02AB">
        <w:rPr>
          <w:rFonts w:ascii="Calibri" w:hAnsi="Calibri" w:cs="Calibri"/>
          <w:kern w:val="0"/>
          <w:sz w:val="24"/>
          <w:szCs w:val="24"/>
          <w14:ligatures w14:val="none"/>
        </w:rPr>
        <w:t xml:space="preserve">Già a </w:t>
      </w:r>
      <w:r w:rsidRPr="006A02AB">
        <w:rPr>
          <w:rFonts w:ascii="Calibri" w:hAnsi="Calibri" w:cs="Calibri"/>
          <w:b/>
          <w:kern w:val="0"/>
          <w:sz w:val="24"/>
          <w:szCs w:val="24"/>
          <w14:ligatures w14:val="none"/>
        </w:rPr>
        <w:t xml:space="preserve">inizio maggio </w:t>
      </w:r>
      <w:r w:rsidRPr="006A02AB">
        <w:rPr>
          <w:rFonts w:ascii="Calibri" w:hAnsi="Calibri" w:cs="Calibri"/>
          <w:kern w:val="0"/>
          <w:sz w:val="24"/>
          <w:szCs w:val="24"/>
          <w14:ligatures w14:val="none"/>
        </w:rPr>
        <w:t xml:space="preserve">si è </w:t>
      </w:r>
      <w:r w:rsidRPr="006A02AB">
        <w:rPr>
          <w:rFonts w:ascii="Calibri" w:hAnsi="Calibri" w:cs="Calibri"/>
          <w:b/>
          <w:kern w:val="0"/>
          <w:sz w:val="24"/>
          <w:szCs w:val="24"/>
          <w14:ligatures w14:val="none"/>
        </w:rPr>
        <w:t xml:space="preserve">verificato un netto e progressivo miglioramento </w:t>
      </w:r>
      <w:r w:rsidRPr="006A02AB">
        <w:rPr>
          <w:rFonts w:ascii="Calibri" w:hAnsi="Calibri" w:cs="Calibri"/>
          <w:bCs/>
          <w:kern w:val="0"/>
          <w:sz w:val="24"/>
          <w:szCs w:val="24"/>
          <w14:ligatures w14:val="none"/>
        </w:rPr>
        <w:t xml:space="preserve">della qualità delle acque del bacino </w:t>
      </w:r>
      <w:r w:rsidRPr="006A02AB">
        <w:rPr>
          <w:rFonts w:ascii="Calibri" w:hAnsi="Calibri" w:cs="Calibri"/>
          <w:kern w:val="0"/>
          <w:sz w:val="24"/>
          <w:szCs w:val="24"/>
          <w14:ligatures w14:val="none"/>
        </w:rPr>
        <w:t>di Suviana in merito alla presenza di idrocarburi, con un unico segnale di presenza nel punto di campionamento in superficie in centro lago.</w:t>
      </w:r>
    </w:p>
    <w:p w14:paraId="458DF3AB" w14:textId="77777777" w:rsidR="006A02AB" w:rsidRPr="006A02AB" w:rsidRDefault="006A02AB" w:rsidP="006A02AB">
      <w:pPr>
        <w:spacing w:after="0" w:line="240" w:lineRule="auto"/>
        <w:jc w:val="both"/>
        <w:rPr>
          <w:rFonts w:ascii="Calibri" w:hAnsi="Calibri" w:cs="Calibri"/>
          <w:kern w:val="0"/>
          <w:sz w:val="24"/>
          <w:szCs w:val="24"/>
          <w14:ligatures w14:val="none"/>
        </w:rPr>
      </w:pPr>
      <w:r w:rsidRPr="006A02AB">
        <w:rPr>
          <w:rFonts w:ascii="Calibri" w:hAnsi="Calibri" w:cs="Calibri"/>
          <w:b/>
          <w:kern w:val="0"/>
          <w:sz w:val="24"/>
          <w:szCs w:val="24"/>
          <w14:ligatures w14:val="none"/>
        </w:rPr>
        <w:t>Rassicuranti</w:t>
      </w:r>
      <w:r w:rsidRPr="006A02AB">
        <w:rPr>
          <w:rFonts w:ascii="Calibri" w:hAnsi="Calibri" w:cs="Calibri"/>
          <w:kern w:val="0"/>
          <w:sz w:val="24"/>
          <w:szCs w:val="24"/>
          <w14:ligatures w14:val="none"/>
        </w:rPr>
        <w:t xml:space="preserve"> anche i </w:t>
      </w:r>
      <w:r w:rsidRPr="006A02AB">
        <w:rPr>
          <w:rFonts w:ascii="Calibri" w:hAnsi="Calibri" w:cs="Calibri"/>
          <w:b/>
          <w:kern w:val="0"/>
          <w:sz w:val="24"/>
          <w:szCs w:val="24"/>
          <w14:ligatures w14:val="none"/>
        </w:rPr>
        <w:t>dati</w:t>
      </w:r>
      <w:r w:rsidRPr="006A02AB">
        <w:rPr>
          <w:rFonts w:ascii="Calibri" w:hAnsi="Calibri" w:cs="Calibri"/>
          <w:kern w:val="0"/>
          <w:sz w:val="24"/>
          <w:szCs w:val="24"/>
          <w14:ligatures w14:val="none"/>
        </w:rPr>
        <w:t xml:space="preserve"> sui </w:t>
      </w:r>
      <w:r w:rsidRPr="006A02AB">
        <w:rPr>
          <w:rFonts w:ascii="Calibri" w:hAnsi="Calibri" w:cs="Calibri"/>
          <w:b/>
          <w:kern w:val="0"/>
          <w:sz w:val="24"/>
          <w:szCs w:val="24"/>
          <w14:ligatures w14:val="none"/>
        </w:rPr>
        <w:t>parametri</w:t>
      </w:r>
      <w:r w:rsidRPr="006A02AB">
        <w:rPr>
          <w:rFonts w:ascii="Calibri" w:hAnsi="Calibri" w:cs="Calibri"/>
          <w:kern w:val="0"/>
          <w:sz w:val="24"/>
          <w:szCs w:val="24"/>
          <w14:ligatures w14:val="none"/>
        </w:rPr>
        <w:t xml:space="preserve"> </w:t>
      </w:r>
      <w:r w:rsidRPr="006A02AB">
        <w:rPr>
          <w:rFonts w:ascii="Calibri" w:hAnsi="Calibri" w:cs="Calibri"/>
          <w:b/>
          <w:kern w:val="0"/>
          <w:sz w:val="24"/>
          <w:szCs w:val="24"/>
          <w14:ligatures w14:val="none"/>
        </w:rPr>
        <w:t>chimici</w:t>
      </w:r>
      <w:r w:rsidRPr="006A02AB">
        <w:rPr>
          <w:rFonts w:ascii="Calibri" w:hAnsi="Calibri" w:cs="Calibri"/>
          <w:kern w:val="0"/>
          <w:sz w:val="24"/>
          <w:szCs w:val="24"/>
          <w14:ligatures w14:val="none"/>
        </w:rPr>
        <w:t xml:space="preserve"> considerati ai fini della classificazione dello stato di qualità dei corpi idrici: </w:t>
      </w:r>
      <w:r w:rsidRPr="006A02AB">
        <w:rPr>
          <w:rFonts w:ascii="Calibri" w:hAnsi="Calibri" w:cs="Calibri"/>
          <w:b/>
          <w:kern w:val="0"/>
          <w:sz w:val="24"/>
          <w:szCs w:val="24"/>
          <w14:ligatures w14:val="none"/>
        </w:rPr>
        <w:t xml:space="preserve">nessuno scostamento </w:t>
      </w:r>
      <w:r w:rsidRPr="006A02AB">
        <w:rPr>
          <w:rFonts w:ascii="Calibri" w:hAnsi="Calibri" w:cs="Calibri"/>
          <w:kern w:val="0"/>
          <w:sz w:val="24"/>
          <w:szCs w:val="24"/>
          <w14:ligatures w14:val="none"/>
        </w:rPr>
        <w:t>è stato rilevato rispetto ai risultati delle serie storiche disponibili.</w:t>
      </w:r>
    </w:p>
    <w:p w14:paraId="71C9CC0C" w14:textId="77777777" w:rsidR="006A02AB" w:rsidRPr="006A02AB" w:rsidRDefault="006A02AB" w:rsidP="006A02AB">
      <w:pPr>
        <w:spacing w:after="0" w:line="240" w:lineRule="auto"/>
        <w:jc w:val="both"/>
        <w:rPr>
          <w:rFonts w:ascii="Calibri" w:hAnsi="Calibri" w:cs="Calibri"/>
          <w:kern w:val="0"/>
          <w:sz w:val="24"/>
          <w:szCs w:val="24"/>
          <w14:ligatures w14:val="none"/>
        </w:rPr>
      </w:pPr>
      <w:r w:rsidRPr="006A02AB">
        <w:rPr>
          <w:rFonts w:ascii="Calibri" w:hAnsi="Calibri" w:cs="Calibri"/>
          <w:kern w:val="0"/>
          <w:sz w:val="24"/>
          <w:szCs w:val="24"/>
          <w14:ligatures w14:val="none"/>
        </w:rPr>
        <w:t xml:space="preserve">Il lago aveva una classificazione di </w:t>
      </w:r>
      <w:r w:rsidRPr="006A02AB">
        <w:rPr>
          <w:rFonts w:ascii="Calibri" w:hAnsi="Calibri" w:cs="Calibri"/>
          <w:b/>
          <w:kern w:val="0"/>
          <w:sz w:val="24"/>
          <w:szCs w:val="24"/>
          <w14:ligatures w14:val="none"/>
        </w:rPr>
        <w:t xml:space="preserve">qualità “buona” </w:t>
      </w:r>
      <w:r w:rsidRPr="006A02AB">
        <w:rPr>
          <w:rFonts w:ascii="Calibri" w:hAnsi="Calibri" w:cs="Calibri"/>
          <w:kern w:val="0"/>
          <w:sz w:val="24"/>
          <w:szCs w:val="24"/>
          <w14:ligatures w14:val="none"/>
        </w:rPr>
        <w:t xml:space="preserve">sia per lo </w:t>
      </w:r>
      <w:r w:rsidRPr="006A02AB">
        <w:rPr>
          <w:rFonts w:ascii="Calibri" w:hAnsi="Calibri" w:cs="Calibri"/>
          <w:b/>
          <w:kern w:val="0"/>
          <w:sz w:val="24"/>
          <w:szCs w:val="24"/>
          <w14:ligatures w14:val="none"/>
        </w:rPr>
        <w:t xml:space="preserve">stato chimico </w:t>
      </w:r>
      <w:r w:rsidRPr="006A02AB">
        <w:rPr>
          <w:rFonts w:ascii="Calibri" w:hAnsi="Calibri" w:cs="Calibri"/>
          <w:kern w:val="0"/>
          <w:sz w:val="24"/>
          <w:szCs w:val="24"/>
          <w14:ligatures w14:val="none"/>
        </w:rPr>
        <w:t xml:space="preserve">sia per lo </w:t>
      </w:r>
      <w:r w:rsidRPr="006A02AB">
        <w:rPr>
          <w:rFonts w:ascii="Calibri" w:hAnsi="Calibri" w:cs="Calibri"/>
          <w:b/>
          <w:kern w:val="0"/>
          <w:sz w:val="24"/>
          <w:szCs w:val="24"/>
          <w14:ligatures w14:val="none"/>
        </w:rPr>
        <w:t xml:space="preserve">stato ecologico </w:t>
      </w:r>
      <w:r w:rsidRPr="006A02AB">
        <w:rPr>
          <w:rFonts w:ascii="Calibri" w:hAnsi="Calibri" w:cs="Calibri"/>
          <w:kern w:val="0"/>
          <w:sz w:val="24"/>
          <w:szCs w:val="24"/>
          <w14:ligatures w14:val="none"/>
        </w:rPr>
        <w:t xml:space="preserve">ed era utilizzato per l’approvvigionamento idropotabile. </w:t>
      </w:r>
    </w:p>
    <w:p w14:paraId="65A5DBE6" w14:textId="77777777" w:rsidR="006A02AB" w:rsidRPr="006A02AB" w:rsidRDefault="006A02AB" w:rsidP="006A02AB">
      <w:pPr>
        <w:spacing w:after="0" w:line="240" w:lineRule="auto"/>
        <w:jc w:val="both"/>
        <w:rPr>
          <w:rFonts w:ascii="Calibri" w:hAnsi="Calibri" w:cs="Calibri"/>
          <w:kern w:val="0"/>
          <w:sz w:val="24"/>
          <w:szCs w:val="24"/>
          <w14:ligatures w14:val="none"/>
        </w:rPr>
      </w:pPr>
    </w:p>
    <w:p w14:paraId="26F1E3FE" w14:textId="77777777" w:rsidR="006A02AB" w:rsidRPr="006A02AB" w:rsidRDefault="006A02AB" w:rsidP="006A02AB">
      <w:pPr>
        <w:spacing w:after="0" w:line="240" w:lineRule="auto"/>
        <w:jc w:val="both"/>
        <w:rPr>
          <w:rFonts w:ascii="Calibri" w:hAnsi="Calibri" w:cs="Calibri"/>
          <w:kern w:val="0"/>
          <w:sz w:val="24"/>
          <w:szCs w:val="24"/>
          <w14:ligatures w14:val="none"/>
        </w:rPr>
      </w:pPr>
      <w:r w:rsidRPr="006A02AB">
        <w:rPr>
          <w:rFonts w:ascii="Calibri" w:hAnsi="Calibri" w:cs="Calibri"/>
          <w:kern w:val="0"/>
          <w:sz w:val="24"/>
          <w:szCs w:val="24"/>
          <w14:ligatures w14:val="none"/>
        </w:rPr>
        <w:t xml:space="preserve">Il </w:t>
      </w:r>
      <w:r w:rsidRPr="006A02AB">
        <w:rPr>
          <w:rFonts w:ascii="Calibri" w:hAnsi="Calibri" w:cs="Calibri"/>
          <w:b/>
          <w:bCs/>
          <w:kern w:val="0"/>
          <w:sz w:val="24"/>
          <w:szCs w:val="24"/>
          <w14:ligatures w14:val="none"/>
        </w:rPr>
        <w:t>28 maggio</w:t>
      </w:r>
      <w:r w:rsidRPr="006A02AB">
        <w:rPr>
          <w:rFonts w:ascii="Calibri" w:hAnsi="Calibri" w:cs="Calibri"/>
          <w:kern w:val="0"/>
          <w:sz w:val="24"/>
          <w:szCs w:val="24"/>
          <w14:ligatures w14:val="none"/>
        </w:rPr>
        <w:t xml:space="preserve"> è terminata la prima fase di regimazione del livello dell’acqua all’interno della centrale, con la chiusura– ad opera dei sommozzatori– della paratoia del Gruppo 2, che separa idraulicamente la condotta del manufatto dal lago. </w:t>
      </w:r>
    </w:p>
    <w:p w14:paraId="28C44E28" w14:textId="77777777" w:rsidR="006A02AB" w:rsidRPr="006A02AB" w:rsidRDefault="006A02AB" w:rsidP="006A02AB">
      <w:pPr>
        <w:spacing w:after="0" w:line="240" w:lineRule="auto"/>
        <w:jc w:val="both"/>
        <w:rPr>
          <w:rFonts w:ascii="Calibri" w:hAnsi="Calibri" w:cs="Calibri"/>
          <w:b/>
          <w:bCs/>
          <w:kern w:val="0"/>
          <w:sz w:val="24"/>
          <w:szCs w:val="24"/>
          <w14:ligatures w14:val="none"/>
        </w:rPr>
      </w:pPr>
    </w:p>
    <w:p w14:paraId="0DF727EE" w14:textId="59F13B8D" w:rsidR="006A02AB" w:rsidRPr="006A02AB" w:rsidRDefault="006A02AB" w:rsidP="006A02AB">
      <w:pPr>
        <w:spacing w:after="0" w:line="240" w:lineRule="auto"/>
        <w:jc w:val="both"/>
        <w:rPr>
          <w:rFonts w:ascii="Calibri" w:hAnsi="Calibri" w:cs="Calibri"/>
          <w:kern w:val="0"/>
          <w:sz w:val="24"/>
          <w:szCs w:val="24"/>
          <w14:ligatures w14:val="none"/>
        </w:rPr>
      </w:pPr>
      <w:bookmarkStart w:id="0" w:name="_Hlk173945964"/>
      <w:r w:rsidRPr="006A02AB">
        <w:rPr>
          <w:rFonts w:ascii="Calibri" w:hAnsi="Calibri" w:cs="Calibri"/>
          <w:kern w:val="0"/>
          <w:sz w:val="24"/>
          <w:szCs w:val="24"/>
          <w14:ligatures w14:val="none"/>
        </w:rPr>
        <w:t xml:space="preserve">Con </w:t>
      </w:r>
      <w:r w:rsidRPr="006A02AB">
        <w:rPr>
          <w:rFonts w:ascii="Calibri" w:hAnsi="Calibri" w:cs="Calibri"/>
          <w:b/>
          <w:kern w:val="0"/>
          <w:sz w:val="24"/>
          <w:szCs w:val="24"/>
          <w14:ligatures w14:val="none"/>
        </w:rPr>
        <w:t xml:space="preserve">Ordinanza n. 83 del 11 giugno 2024 </w:t>
      </w:r>
      <w:r w:rsidRPr="006A02AB">
        <w:rPr>
          <w:rFonts w:ascii="Calibri" w:hAnsi="Calibri" w:cs="Calibri"/>
          <w:kern w:val="0"/>
          <w:sz w:val="24"/>
          <w:szCs w:val="24"/>
          <w14:ligatures w14:val="none"/>
        </w:rPr>
        <w:t xml:space="preserve">del </w:t>
      </w:r>
      <w:r w:rsidRPr="006A02AB">
        <w:rPr>
          <w:rFonts w:ascii="Calibri" w:hAnsi="Calibri" w:cs="Calibri"/>
          <w:b/>
          <w:bCs/>
          <w:kern w:val="0"/>
          <w:sz w:val="24"/>
          <w:szCs w:val="24"/>
          <w14:ligatures w14:val="none"/>
        </w:rPr>
        <w:t>Presidente della Regione</w:t>
      </w:r>
      <w:bookmarkEnd w:id="0"/>
      <w:r w:rsidRPr="006A02AB">
        <w:rPr>
          <w:rFonts w:ascii="Calibri" w:hAnsi="Calibri" w:cs="Calibri"/>
          <w:kern w:val="0"/>
          <w:sz w:val="24"/>
          <w:szCs w:val="24"/>
          <w14:ligatures w14:val="none"/>
        </w:rPr>
        <w:t xml:space="preserve"> si sono stabilite le </w:t>
      </w:r>
      <w:r w:rsidRPr="006A02AB">
        <w:rPr>
          <w:rFonts w:ascii="Calibri" w:hAnsi="Calibri" w:cs="Calibri"/>
          <w:bCs/>
          <w:kern w:val="0"/>
          <w:sz w:val="24"/>
          <w:szCs w:val="24"/>
          <w14:ligatures w14:val="none"/>
        </w:rPr>
        <w:t xml:space="preserve">regole per l’adozione della </w:t>
      </w:r>
      <w:r w:rsidRPr="006A02AB">
        <w:rPr>
          <w:rFonts w:ascii="Calibri" w:hAnsi="Calibri" w:cs="Calibri"/>
          <w:b/>
          <w:kern w:val="0"/>
          <w:sz w:val="24"/>
          <w:szCs w:val="24"/>
          <w14:ligatures w14:val="none"/>
        </w:rPr>
        <w:t xml:space="preserve">Via </w:t>
      </w:r>
      <w:r w:rsidRPr="006A02AB">
        <w:rPr>
          <w:rFonts w:ascii="Calibri" w:hAnsi="Calibri" w:cs="Calibri"/>
          <w:kern w:val="0"/>
          <w:sz w:val="24"/>
          <w:szCs w:val="24"/>
          <w14:ligatures w14:val="none"/>
        </w:rPr>
        <w:t xml:space="preserve">(Valutazione di impatto ambientale) e </w:t>
      </w:r>
      <w:r w:rsidRPr="006A02AB">
        <w:rPr>
          <w:rFonts w:ascii="Calibri" w:hAnsi="Calibri" w:cs="Calibri"/>
          <w:bCs/>
          <w:kern w:val="0"/>
          <w:sz w:val="24"/>
          <w:szCs w:val="24"/>
          <w14:ligatures w14:val="none"/>
        </w:rPr>
        <w:t>del</w:t>
      </w:r>
      <w:r w:rsidRPr="006A02AB">
        <w:rPr>
          <w:rFonts w:ascii="Calibri" w:hAnsi="Calibri" w:cs="Calibri"/>
          <w:b/>
          <w:kern w:val="0"/>
          <w:sz w:val="24"/>
          <w:szCs w:val="24"/>
          <w14:ligatures w14:val="none"/>
        </w:rPr>
        <w:t xml:space="preserve"> </w:t>
      </w:r>
      <w:proofErr w:type="spellStart"/>
      <w:r w:rsidRPr="006A02AB">
        <w:rPr>
          <w:rFonts w:ascii="Calibri" w:hAnsi="Calibri" w:cs="Calibri"/>
          <w:b/>
          <w:kern w:val="0"/>
          <w:sz w:val="24"/>
          <w:szCs w:val="24"/>
          <w14:ligatures w14:val="none"/>
        </w:rPr>
        <w:t>Paur</w:t>
      </w:r>
      <w:proofErr w:type="spellEnd"/>
      <w:r w:rsidRPr="006A02AB">
        <w:rPr>
          <w:rFonts w:ascii="Calibri" w:hAnsi="Calibri" w:cs="Calibri"/>
          <w:kern w:val="0"/>
          <w:sz w:val="24"/>
          <w:szCs w:val="24"/>
          <w14:ligatures w14:val="none"/>
        </w:rPr>
        <w:t xml:space="preserve"> (Provvedimento autorizzatorio unico regionale) per la </w:t>
      </w:r>
      <w:r w:rsidRPr="006A02AB">
        <w:rPr>
          <w:rFonts w:ascii="Calibri" w:hAnsi="Calibri" w:cs="Calibri"/>
          <w:b/>
          <w:kern w:val="0"/>
          <w:sz w:val="24"/>
          <w:szCs w:val="24"/>
          <w14:ligatures w14:val="none"/>
        </w:rPr>
        <w:t xml:space="preserve">realizzazione e l’esercizio, da parte di Enel Green Power Italia </w:t>
      </w:r>
      <w:proofErr w:type="spellStart"/>
      <w:r w:rsidRPr="006A02AB">
        <w:rPr>
          <w:rFonts w:ascii="Calibri" w:hAnsi="Calibri" w:cs="Calibri"/>
          <w:b/>
          <w:kern w:val="0"/>
          <w:sz w:val="24"/>
          <w:szCs w:val="24"/>
          <w14:ligatures w14:val="none"/>
        </w:rPr>
        <w:t>srl</w:t>
      </w:r>
      <w:proofErr w:type="spellEnd"/>
      <w:r w:rsidRPr="006A02AB">
        <w:rPr>
          <w:rFonts w:ascii="Calibri" w:hAnsi="Calibri" w:cs="Calibri"/>
          <w:b/>
          <w:kern w:val="0"/>
          <w:sz w:val="24"/>
          <w:szCs w:val="24"/>
          <w14:ligatures w14:val="none"/>
        </w:rPr>
        <w:t xml:space="preserve">, dell’impianto </w:t>
      </w:r>
      <w:r w:rsidRPr="006A02AB">
        <w:rPr>
          <w:rFonts w:ascii="Calibri" w:hAnsi="Calibri" w:cs="Calibri"/>
          <w:kern w:val="0"/>
          <w:sz w:val="24"/>
          <w:szCs w:val="24"/>
          <w14:ligatures w14:val="none"/>
        </w:rPr>
        <w:t>necessario a</w:t>
      </w:r>
      <w:r w:rsidRPr="006A02AB">
        <w:rPr>
          <w:rFonts w:ascii="Calibri" w:hAnsi="Calibri" w:cs="Calibri"/>
          <w:b/>
          <w:kern w:val="0"/>
          <w:sz w:val="24"/>
          <w:szCs w:val="24"/>
          <w14:ligatures w14:val="none"/>
        </w:rPr>
        <w:t xml:space="preserve"> </w:t>
      </w:r>
      <w:r w:rsidRPr="006A02AB">
        <w:rPr>
          <w:rFonts w:ascii="Calibri" w:hAnsi="Calibri" w:cs="Calibri"/>
          <w:bCs/>
          <w:kern w:val="0"/>
          <w:sz w:val="24"/>
          <w:szCs w:val="24"/>
          <w14:ligatures w14:val="none"/>
        </w:rPr>
        <w:t>trattare i circa 50.000 metri cubi di acqua contenuti nella centrale prima di essere reimmessi nel lago di Suviana.</w:t>
      </w:r>
      <w:r w:rsidRPr="006A02AB">
        <w:rPr>
          <w:rFonts w:ascii="Calibri" w:hAnsi="Calibri" w:cs="Calibri"/>
          <w:kern w:val="0"/>
          <w:sz w:val="24"/>
          <w:szCs w:val="24"/>
          <w14:ligatures w14:val="none"/>
        </w:rPr>
        <w:t xml:space="preserve"> </w:t>
      </w:r>
    </w:p>
    <w:p w14:paraId="5DC38F4E" w14:textId="77777777" w:rsidR="006A02AB" w:rsidRPr="006A02AB" w:rsidRDefault="006A02AB" w:rsidP="006A02AB">
      <w:pPr>
        <w:spacing w:after="0" w:line="240" w:lineRule="auto"/>
        <w:jc w:val="both"/>
        <w:rPr>
          <w:rFonts w:ascii="Calibri" w:hAnsi="Calibri" w:cs="Calibri"/>
          <w:kern w:val="0"/>
          <w:sz w:val="24"/>
          <w:szCs w:val="24"/>
          <w14:ligatures w14:val="none"/>
        </w:rPr>
      </w:pPr>
    </w:p>
    <w:p w14:paraId="325D85DE" w14:textId="77777777" w:rsidR="006A02AB" w:rsidRPr="006A02AB" w:rsidRDefault="006A02AB" w:rsidP="006A02AB">
      <w:pPr>
        <w:spacing w:after="0" w:line="240" w:lineRule="auto"/>
        <w:jc w:val="both"/>
        <w:rPr>
          <w:rFonts w:ascii="Calibri" w:hAnsi="Calibri" w:cs="Calibri"/>
          <w:kern w:val="0"/>
          <w:sz w:val="24"/>
          <w:szCs w:val="24"/>
          <w14:ligatures w14:val="none"/>
        </w:rPr>
      </w:pPr>
      <w:r w:rsidRPr="006A02AB">
        <w:rPr>
          <w:rFonts w:ascii="Calibri" w:hAnsi="Calibri" w:cs="Calibri"/>
          <w:kern w:val="0"/>
          <w:sz w:val="24"/>
          <w:szCs w:val="24"/>
          <w14:ligatures w14:val="none"/>
        </w:rPr>
        <w:t xml:space="preserve">Il giorno successivo all’Ordinanza, il </w:t>
      </w:r>
      <w:r w:rsidRPr="006A02AB">
        <w:rPr>
          <w:rFonts w:ascii="Calibri" w:hAnsi="Calibri" w:cs="Calibri"/>
          <w:b/>
          <w:kern w:val="0"/>
          <w:sz w:val="24"/>
          <w:szCs w:val="24"/>
          <w14:ligatures w14:val="none"/>
        </w:rPr>
        <w:t>12 giugno 2024</w:t>
      </w:r>
      <w:r w:rsidRPr="006A02AB">
        <w:rPr>
          <w:rFonts w:ascii="Calibri" w:hAnsi="Calibri" w:cs="Calibri"/>
          <w:kern w:val="0"/>
          <w:sz w:val="24"/>
          <w:szCs w:val="24"/>
          <w14:ligatures w14:val="none"/>
        </w:rPr>
        <w:t>, Enel Green Power Italia ha presentato l’</w:t>
      </w:r>
      <w:r w:rsidRPr="006A02AB">
        <w:rPr>
          <w:rFonts w:ascii="Calibri" w:hAnsi="Calibri" w:cs="Calibri"/>
          <w:b/>
          <w:kern w:val="0"/>
          <w:sz w:val="24"/>
          <w:szCs w:val="24"/>
          <w14:ligatures w14:val="none"/>
        </w:rPr>
        <w:t xml:space="preserve">istanza per ottenere </w:t>
      </w:r>
      <w:r w:rsidRPr="006A02AB">
        <w:rPr>
          <w:rFonts w:ascii="Calibri" w:hAnsi="Calibri" w:cs="Calibri"/>
          <w:kern w:val="0"/>
          <w:sz w:val="24"/>
          <w:szCs w:val="24"/>
          <w14:ligatures w14:val="none"/>
        </w:rPr>
        <w:t xml:space="preserve">il </w:t>
      </w:r>
      <w:proofErr w:type="spellStart"/>
      <w:r w:rsidRPr="006A02AB">
        <w:rPr>
          <w:rFonts w:ascii="Calibri" w:hAnsi="Calibri" w:cs="Calibri"/>
          <w:b/>
          <w:kern w:val="0"/>
          <w:sz w:val="24"/>
          <w:szCs w:val="24"/>
          <w14:ligatures w14:val="none"/>
        </w:rPr>
        <w:t>Paur</w:t>
      </w:r>
      <w:proofErr w:type="spellEnd"/>
      <w:r w:rsidRPr="006A02AB">
        <w:rPr>
          <w:rFonts w:ascii="Calibri" w:hAnsi="Calibri" w:cs="Calibri"/>
          <w:kern w:val="0"/>
          <w:sz w:val="24"/>
          <w:szCs w:val="24"/>
          <w14:ligatures w14:val="none"/>
        </w:rPr>
        <w:t xml:space="preserve">. </w:t>
      </w:r>
    </w:p>
    <w:p w14:paraId="48E56A04" w14:textId="77777777" w:rsidR="006A02AB" w:rsidRPr="006A02AB" w:rsidRDefault="006A02AB" w:rsidP="006A02AB">
      <w:pPr>
        <w:spacing w:after="0" w:line="240" w:lineRule="auto"/>
        <w:jc w:val="both"/>
        <w:rPr>
          <w:rFonts w:ascii="Calibri" w:hAnsi="Calibri" w:cs="Calibri"/>
          <w:kern w:val="0"/>
          <w:sz w:val="24"/>
          <w:szCs w:val="24"/>
          <w14:ligatures w14:val="none"/>
        </w:rPr>
      </w:pPr>
    </w:p>
    <w:p w14:paraId="24210986" w14:textId="77777777" w:rsidR="006A02AB" w:rsidRPr="006A02AB" w:rsidRDefault="006A02AB" w:rsidP="006A02AB">
      <w:pPr>
        <w:spacing w:after="0" w:line="240" w:lineRule="auto"/>
        <w:jc w:val="both"/>
        <w:rPr>
          <w:rFonts w:ascii="Calibri" w:hAnsi="Calibri" w:cs="Calibri"/>
          <w:kern w:val="0"/>
          <w:sz w:val="24"/>
          <w:szCs w:val="24"/>
          <w14:ligatures w14:val="none"/>
        </w:rPr>
      </w:pPr>
      <w:r w:rsidRPr="006A02AB">
        <w:rPr>
          <w:rFonts w:ascii="Calibri" w:hAnsi="Calibri" w:cs="Calibri"/>
          <w:kern w:val="0"/>
          <w:sz w:val="24"/>
          <w:szCs w:val="24"/>
          <w14:ligatures w14:val="none"/>
        </w:rPr>
        <w:t xml:space="preserve">Il </w:t>
      </w:r>
      <w:r w:rsidRPr="006A02AB">
        <w:rPr>
          <w:rFonts w:ascii="Calibri" w:hAnsi="Calibri" w:cs="Calibri"/>
          <w:b/>
          <w:kern w:val="0"/>
          <w:sz w:val="24"/>
          <w:szCs w:val="24"/>
          <w14:ligatures w14:val="none"/>
        </w:rPr>
        <w:t>14 giugno</w:t>
      </w:r>
      <w:r w:rsidRPr="006A02AB">
        <w:rPr>
          <w:rFonts w:ascii="Calibri" w:hAnsi="Calibri" w:cs="Calibri"/>
          <w:kern w:val="0"/>
          <w:sz w:val="24"/>
          <w:szCs w:val="24"/>
          <w14:ligatures w14:val="none"/>
        </w:rPr>
        <w:t xml:space="preserve"> si è svolta la </w:t>
      </w:r>
      <w:r w:rsidRPr="006A02AB">
        <w:rPr>
          <w:rFonts w:ascii="Calibri" w:hAnsi="Calibri" w:cs="Calibri"/>
          <w:b/>
          <w:kern w:val="0"/>
          <w:sz w:val="24"/>
          <w:szCs w:val="24"/>
          <w14:ligatures w14:val="none"/>
        </w:rPr>
        <w:t xml:space="preserve">prima riunione della Conferenza dei Servizi </w:t>
      </w:r>
      <w:r w:rsidRPr="006A02AB">
        <w:rPr>
          <w:rFonts w:ascii="Calibri" w:hAnsi="Calibri" w:cs="Calibri"/>
          <w:kern w:val="0"/>
          <w:sz w:val="24"/>
          <w:szCs w:val="24"/>
          <w14:ligatures w14:val="none"/>
        </w:rPr>
        <w:t xml:space="preserve">per la Valutazione dell’impatto ambientale a cui hanno partecipato, oltre alla Regione, Città Metropolitana, Comuni di Camugnano e Castel di Casio; Ente di gestione per i parchi e la biodiversità Emilia Orientale; </w:t>
      </w:r>
      <w:proofErr w:type="spellStart"/>
      <w:r w:rsidRPr="006A02AB">
        <w:rPr>
          <w:rFonts w:ascii="Calibri" w:hAnsi="Calibri" w:cs="Calibri"/>
          <w:kern w:val="0"/>
          <w:sz w:val="24"/>
          <w:szCs w:val="24"/>
          <w14:ligatures w14:val="none"/>
        </w:rPr>
        <w:t>Arpae</w:t>
      </w:r>
      <w:proofErr w:type="spellEnd"/>
      <w:r w:rsidRPr="006A02AB">
        <w:rPr>
          <w:rFonts w:ascii="Calibri" w:hAnsi="Calibri" w:cs="Calibri"/>
          <w:kern w:val="0"/>
          <w:sz w:val="24"/>
          <w:szCs w:val="24"/>
          <w14:ligatures w14:val="none"/>
        </w:rPr>
        <w:t xml:space="preserve">; Ausl e </w:t>
      </w:r>
      <w:r w:rsidRPr="006A02AB">
        <w:rPr>
          <w:rFonts w:ascii="Calibri" w:hAnsi="Calibri" w:cs="Calibri"/>
          <w:kern w:val="0"/>
          <w:sz w:val="24"/>
          <w:szCs w:val="24"/>
          <w14:ligatures w14:val="none"/>
        </w:rPr>
        <w:lastRenderedPageBreak/>
        <w:t xml:space="preserve">Soprintendenza. La Conferenza si è </w:t>
      </w:r>
      <w:r w:rsidRPr="006A02AB">
        <w:rPr>
          <w:rFonts w:ascii="Calibri" w:hAnsi="Calibri" w:cs="Calibri"/>
          <w:b/>
          <w:kern w:val="0"/>
          <w:sz w:val="24"/>
          <w:szCs w:val="24"/>
          <w14:ligatures w14:val="none"/>
        </w:rPr>
        <w:t>conclusa il 4 luglio</w:t>
      </w:r>
      <w:r w:rsidRPr="006A02AB">
        <w:rPr>
          <w:rFonts w:ascii="Calibri" w:hAnsi="Calibri" w:cs="Calibri"/>
          <w:kern w:val="0"/>
          <w:sz w:val="24"/>
          <w:szCs w:val="24"/>
          <w14:ligatures w14:val="none"/>
        </w:rPr>
        <w:t xml:space="preserve">, esprimendo unanime parere positivo al progetto di Enel Green Power. </w:t>
      </w:r>
    </w:p>
    <w:p w14:paraId="22772D01" w14:textId="77777777" w:rsidR="006A02AB" w:rsidRPr="006A02AB" w:rsidRDefault="006A02AB" w:rsidP="006A02AB">
      <w:pPr>
        <w:spacing w:after="0" w:line="240" w:lineRule="auto"/>
        <w:jc w:val="both"/>
        <w:rPr>
          <w:rFonts w:ascii="Calibri" w:hAnsi="Calibri" w:cs="Calibri"/>
          <w:kern w:val="0"/>
          <w:sz w:val="24"/>
          <w:szCs w:val="24"/>
          <w14:ligatures w14:val="none"/>
        </w:rPr>
      </w:pPr>
    </w:p>
    <w:p w14:paraId="5106323D" w14:textId="77777777" w:rsidR="006A02AB" w:rsidRPr="006A02AB" w:rsidRDefault="006A02AB" w:rsidP="006A02AB">
      <w:pPr>
        <w:spacing w:after="0" w:line="240" w:lineRule="auto"/>
        <w:jc w:val="both"/>
        <w:rPr>
          <w:rFonts w:ascii="Calibri" w:hAnsi="Calibri" w:cs="Calibri"/>
          <w:kern w:val="0"/>
          <w:sz w:val="24"/>
          <w:szCs w:val="24"/>
          <w14:ligatures w14:val="none"/>
        </w:rPr>
      </w:pPr>
      <w:r w:rsidRPr="006A02AB">
        <w:rPr>
          <w:rFonts w:ascii="Calibri" w:hAnsi="Calibri" w:cs="Calibri"/>
          <w:kern w:val="0"/>
          <w:sz w:val="24"/>
          <w:szCs w:val="24"/>
          <w14:ligatures w14:val="none"/>
        </w:rPr>
        <w:t xml:space="preserve">Con </w:t>
      </w:r>
      <w:bookmarkStart w:id="1" w:name="_Hlk173946014"/>
      <w:r w:rsidRPr="006A02AB">
        <w:rPr>
          <w:rFonts w:ascii="Calibri" w:hAnsi="Calibri" w:cs="Calibri"/>
          <w:b/>
          <w:kern w:val="0"/>
          <w:sz w:val="24"/>
          <w:szCs w:val="24"/>
          <w14:ligatures w14:val="none"/>
        </w:rPr>
        <w:t xml:space="preserve">Ordinanza </w:t>
      </w:r>
      <w:r w:rsidRPr="006A02AB">
        <w:rPr>
          <w:rFonts w:ascii="Calibri" w:hAnsi="Calibri" w:cs="Calibri"/>
          <w:kern w:val="0"/>
          <w:sz w:val="24"/>
          <w:szCs w:val="24"/>
          <w14:ligatures w14:val="none"/>
        </w:rPr>
        <w:t>del</w:t>
      </w:r>
      <w:r w:rsidRPr="006A02AB">
        <w:rPr>
          <w:rFonts w:ascii="Calibri" w:hAnsi="Calibri" w:cs="Calibri"/>
          <w:b/>
          <w:kern w:val="0"/>
          <w:sz w:val="24"/>
          <w:szCs w:val="24"/>
          <w14:ligatures w14:val="none"/>
        </w:rPr>
        <w:t xml:space="preserve"> Presidente </w:t>
      </w:r>
      <w:r w:rsidRPr="006A02AB">
        <w:rPr>
          <w:rFonts w:ascii="Calibri" w:hAnsi="Calibri" w:cs="Calibri"/>
          <w:kern w:val="0"/>
          <w:sz w:val="24"/>
          <w:szCs w:val="24"/>
          <w14:ligatures w14:val="none"/>
        </w:rPr>
        <w:t>della</w:t>
      </w:r>
      <w:r w:rsidRPr="006A02AB">
        <w:rPr>
          <w:rFonts w:ascii="Calibri" w:hAnsi="Calibri" w:cs="Calibri"/>
          <w:b/>
          <w:kern w:val="0"/>
          <w:sz w:val="24"/>
          <w:szCs w:val="24"/>
          <w14:ligatures w14:val="none"/>
        </w:rPr>
        <w:t xml:space="preserve"> Regione n. 96 </w:t>
      </w:r>
      <w:r w:rsidRPr="006A02AB">
        <w:rPr>
          <w:rFonts w:ascii="Calibri" w:hAnsi="Calibri" w:cs="Calibri"/>
          <w:kern w:val="0"/>
          <w:sz w:val="24"/>
          <w:szCs w:val="24"/>
          <w14:ligatures w14:val="none"/>
        </w:rPr>
        <w:t>del</w:t>
      </w:r>
      <w:r w:rsidRPr="006A02AB">
        <w:rPr>
          <w:rFonts w:ascii="Calibri" w:hAnsi="Calibri" w:cs="Calibri"/>
          <w:b/>
          <w:kern w:val="0"/>
          <w:sz w:val="24"/>
          <w:szCs w:val="24"/>
          <w14:ligatures w14:val="none"/>
        </w:rPr>
        <w:t xml:space="preserve"> 9 luglio 2024</w:t>
      </w:r>
      <w:bookmarkEnd w:id="1"/>
      <w:r w:rsidRPr="006A02AB">
        <w:rPr>
          <w:rFonts w:ascii="Calibri" w:hAnsi="Calibri" w:cs="Calibri"/>
          <w:kern w:val="0"/>
          <w:sz w:val="24"/>
          <w:szCs w:val="24"/>
          <w14:ligatures w14:val="none"/>
        </w:rPr>
        <w:t xml:space="preserve">– </w:t>
      </w:r>
      <w:bookmarkStart w:id="2" w:name="_Hlk173946363"/>
      <w:r w:rsidRPr="006A02AB">
        <w:rPr>
          <w:rFonts w:ascii="Calibri" w:hAnsi="Calibri" w:cs="Calibri"/>
          <w:kern w:val="0"/>
          <w:sz w:val="24"/>
          <w:szCs w:val="24"/>
          <w14:ligatures w14:val="none"/>
        </w:rPr>
        <w:t xml:space="preserve">dunque </w:t>
      </w:r>
      <w:r w:rsidRPr="006A02AB">
        <w:rPr>
          <w:rFonts w:ascii="Calibri" w:hAnsi="Calibri" w:cs="Calibri"/>
          <w:b/>
          <w:kern w:val="0"/>
          <w:sz w:val="24"/>
          <w:szCs w:val="24"/>
          <w14:ligatures w14:val="none"/>
        </w:rPr>
        <w:t>a soli 29 giorni dall’avvio della procedura</w:t>
      </w:r>
      <w:r w:rsidRPr="006A02AB">
        <w:rPr>
          <w:rFonts w:ascii="Calibri" w:hAnsi="Calibri" w:cs="Calibri"/>
          <w:kern w:val="0"/>
          <w:sz w:val="24"/>
          <w:szCs w:val="24"/>
          <w14:ligatures w14:val="none"/>
        </w:rPr>
        <w:t xml:space="preserve">- è stato </w:t>
      </w:r>
      <w:r w:rsidRPr="006A02AB">
        <w:rPr>
          <w:rFonts w:ascii="Calibri" w:hAnsi="Calibri" w:cs="Calibri"/>
          <w:b/>
          <w:kern w:val="0"/>
          <w:sz w:val="24"/>
          <w:szCs w:val="24"/>
          <w14:ligatures w14:val="none"/>
        </w:rPr>
        <w:t xml:space="preserve">adottato il </w:t>
      </w:r>
      <w:proofErr w:type="spellStart"/>
      <w:r w:rsidRPr="006A02AB">
        <w:rPr>
          <w:rFonts w:ascii="Calibri" w:hAnsi="Calibri" w:cs="Calibri"/>
          <w:b/>
          <w:kern w:val="0"/>
          <w:sz w:val="24"/>
          <w:szCs w:val="24"/>
          <w14:ligatures w14:val="none"/>
        </w:rPr>
        <w:t>Paur</w:t>
      </w:r>
      <w:proofErr w:type="spellEnd"/>
      <w:r w:rsidRPr="006A02AB">
        <w:rPr>
          <w:rFonts w:ascii="Calibri" w:hAnsi="Calibri" w:cs="Calibri"/>
          <w:kern w:val="0"/>
          <w:sz w:val="24"/>
          <w:szCs w:val="24"/>
          <w14:ligatures w14:val="none"/>
        </w:rPr>
        <w:t xml:space="preserve"> che ha autorizzato la realizzazione dell’impianto. </w:t>
      </w:r>
    </w:p>
    <w:bookmarkEnd w:id="2"/>
    <w:p w14:paraId="75C234CF" w14:textId="77777777" w:rsidR="006A02AB" w:rsidRPr="006A02AB" w:rsidRDefault="006A02AB" w:rsidP="006A02AB">
      <w:pPr>
        <w:spacing w:after="0" w:line="240" w:lineRule="auto"/>
        <w:jc w:val="both"/>
        <w:rPr>
          <w:rFonts w:ascii="Calibri" w:hAnsi="Calibri" w:cs="Calibri"/>
          <w:kern w:val="0"/>
          <w:sz w:val="24"/>
          <w:szCs w:val="24"/>
          <w:highlight w:val="yellow"/>
          <w14:ligatures w14:val="none"/>
        </w:rPr>
      </w:pPr>
    </w:p>
    <w:p w14:paraId="3550132F" w14:textId="77777777" w:rsidR="00F02DD1" w:rsidRDefault="00F02DD1"/>
    <w:sectPr w:rsidR="00F02DD1" w:rsidSect="006A02AB">
      <w:headerReference w:type="even" r:id="rId4"/>
      <w:headerReference w:type="default" r:id="rId5"/>
      <w:headerReference w:type="first" r:id="rId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15FE4A" w14:textId="77777777" w:rsidR="00000000" w:rsidRDefault="00000000">
    <w:pPr>
      <w:pStyle w:val="Intestazione"/>
    </w:pPr>
    <w:r>
      <w:rPr>
        <w:noProof/>
        <w14:ligatures w14:val="standardContextual"/>
      </w:rPr>
      <mc:AlternateContent>
        <mc:Choice Requires="wps">
          <w:drawing>
            <wp:anchor distT="0" distB="0" distL="0" distR="0" simplePos="0" relativeHeight="251660288" behindDoc="0" locked="0" layoutInCell="1" allowOverlap="1" wp14:anchorId="453F8983" wp14:editId="318B3AA9">
              <wp:simplePos x="635" y="635"/>
              <wp:positionH relativeFrom="page">
                <wp:align>center</wp:align>
              </wp:positionH>
              <wp:positionV relativeFrom="page">
                <wp:align>top</wp:align>
              </wp:positionV>
              <wp:extent cx="502920" cy="316865"/>
              <wp:effectExtent l="0" t="0" r="11430" b="6985"/>
              <wp:wrapNone/>
              <wp:docPr id="437170414" name="Casella di testo 2"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02920" cy="316865"/>
                      </a:xfrm>
                      <a:prstGeom prst="rect">
                        <a:avLst/>
                      </a:prstGeom>
                      <a:noFill/>
                      <a:ln>
                        <a:noFill/>
                      </a:ln>
                    </wps:spPr>
                    <wps:txbx>
                      <w:txbxContent>
                        <w:p w14:paraId="3670E38F" w14:textId="77777777" w:rsidR="00000000" w:rsidRPr="00271AF2" w:rsidRDefault="00000000" w:rsidP="00271AF2">
                          <w:pPr>
                            <w:spacing w:after="0"/>
                            <w:rPr>
                              <w:rFonts w:ascii="Arial" w:eastAsia="Arial" w:hAnsi="Arial" w:cs="Arial"/>
                              <w:noProof/>
                              <w:color w:val="000000"/>
                              <w:sz w:val="16"/>
                              <w:szCs w:val="16"/>
                            </w:rPr>
                          </w:pPr>
                          <w:r w:rsidRPr="00271AF2">
                            <w:rPr>
                              <w:rFonts w:ascii="Arial" w:eastAsia="Arial" w:hAnsi="Arial" w:cs="Arial"/>
                              <w:noProof/>
                              <w:color w:val="000000"/>
                              <w:sz w:val="16"/>
                              <w:szCs w:val="16"/>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53F8983" id="_x0000_t202" coordsize="21600,21600" o:spt="202" path="m,l,21600r21600,l21600,xe">
              <v:stroke joinstyle="miter"/>
              <v:path gradientshapeok="t" o:connecttype="rect"/>
            </v:shapetype>
            <v:shape id="Casella di testo 2" o:spid="_x0000_s1026" type="#_x0000_t202" alt="INTERNAL" style="position:absolute;margin-left:0;margin-top:0;width:39.6pt;height:2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" filled="f" stroked="f">
              <v:textbox style="mso-fit-shape-to-text:t" inset="0,15pt,0,0">
                <w:txbxContent>
                  <w:p w14:paraId="3670E38F" w14:textId="77777777" w:rsidR="00000000" w:rsidRPr="00271AF2" w:rsidRDefault="00000000" w:rsidP="00271AF2">
                    <w:pPr>
                      <w:spacing w:after="0"/>
                      <w:rPr>
                        <w:rFonts w:ascii="Arial" w:eastAsia="Arial" w:hAnsi="Arial" w:cs="Arial"/>
                        <w:noProof/>
                        <w:color w:val="000000"/>
                        <w:sz w:val="16"/>
                        <w:szCs w:val="16"/>
                      </w:rPr>
                    </w:pPr>
                    <w:r w:rsidRPr="00271AF2">
                      <w:rPr>
                        <w:rFonts w:ascii="Arial" w:eastAsia="Arial" w:hAnsi="Arial" w:cs="Arial"/>
                        <w:noProof/>
                        <w:color w:val="000000"/>
                        <w:sz w:val="16"/>
                        <w:szCs w:val="16"/>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5AA40E" w14:textId="77777777" w:rsidR="00000000" w:rsidRDefault="00000000">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30D622" w14:textId="77777777" w:rsidR="00000000" w:rsidRDefault="00000000">
    <w:pPr>
      <w:pStyle w:val="Intestazione"/>
    </w:pPr>
    <w:r>
      <w:rPr>
        <w:noProof/>
        <w14:ligatures w14:val="standardContextual"/>
      </w:rPr>
      <mc:AlternateContent>
        <mc:Choice Requires="wps">
          <w:drawing>
            <wp:anchor distT="0" distB="0" distL="0" distR="0" simplePos="0" relativeHeight="251659264" behindDoc="0" locked="0" layoutInCell="1" allowOverlap="1" wp14:anchorId="45563797" wp14:editId="179F7FAA">
              <wp:simplePos x="635" y="635"/>
              <wp:positionH relativeFrom="page">
                <wp:align>center</wp:align>
              </wp:positionH>
              <wp:positionV relativeFrom="page">
                <wp:align>top</wp:align>
              </wp:positionV>
              <wp:extent cx="502920" cy="316865"/>
              <wp:effectExtent l="0" t="0" r="11430" b="6985"/>
              <wp:wrapNone/>
              <wp:docPr id="1616197081" name="Casella di testo 1"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02920" cy="316865"/>
                      </a:xfrm>
                      <a:prstGeom prst="rect">
                        <a:avLst/>
                      </a:prstGeom>
                      <a:noFill/>
                      <a:ln>
                        <a:noFill/>
                      </a:ln>
                    </wps:spPr>
                    <wps:txbx>
                      <w:txbxContent>
                        <w:p w14:paraId="7E347624" w14:textId="77777777" w:rsidR="00000000" w:rsidRPr="00271AF2" w:rsidRDefault="00000000" w:rsidP="00271AF2">
                          <w:pPr>
                            <w:spacing w:after="0"/>
                            <w:rPr>
                              <w:rFonts w:ascii="Arial" w:eastAsia="Arial" w:hAnsi="Arial" w:cs="Arial"/>
                              <w:noProof/>
                              <w:color w:val="000000"/>
                              <w:sz w:val="16"/>
                              <w:szCs w:val="16"/>
                            </w:rPr>
                          </w:pPr>
                          <w:r w:rsidRPr="00271AF2">
                            <w:rPr>
                              <w:rFonts w:ascii="Arial" w:eastAsia="Arial" w:hAnsi="Arial" w:cs="Arial"/>
                              <w:noProof/>
                              <w:color w:val="000000"/>
                              <w:sz w:val="16"/>
                              <w:szCs w:val="16"/>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5563797" id="_x0000_t202" coordsize="21600,21600" o:spt="202" path="m,l,21600r21600,l21600,xe">
              <v:stroke joinstyle="miter"/>
              <v:path gradientshapeok="t" o:connecttype="rect"/>
            </v:shapetype>
            <v:shape id="Casella di testo 1" o:spid="_x0000_s1027" type="#_x0000_t202" alt="INTERNAL" style="position:absolute;margin-left:0;margin-top:0;width:39.6pt;height:2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" filled="f" stroked="f">
              <v:textbox style="mso-fit-shape-to-text:t" inset="0,15pt,0,0">
                <w:txbxContent>
                  <w:p w14:paraId="7E347624" w14:textId="77777777" w:rsidR="00000000" w:rsidRPr="00271AF2" w:rsidRDefault="00000000" w:rsidP="00271AF2">
                    <w:pPr>
                      <w:spacing w:after="0"/>
                      <w:rPr>
                        <w:rFonts w:ascii="Arial" w:eastAsia="Arial" w:hAnsi="Arial" w:cs="Arial"/>
                        <w:noProof/>
                        <w:color w:val="000000"/>
                        <w:sz w:val="16"/>
                        <w:szCs w:val="16"/>
                      </w:rPr>
                    </w:pPr>
                    <w:r w:rsidRPr="00271AF2">
                      <w:rPr>
                        <w:rFonts w:ascii="Arial" w:eastAsia="Arial" w:hAnsi="Arial" w:cs="Arial"/>
                        <w:noProof/>
                        <w:color w:val="000000"/>
                        <w:sz w:val="16"/>
                        <w:szCs w:val="16"/>
                      </w:rPr>
                      <w:t>INTERNAL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2AB"/>
    <w:rsid w:val="000E3789"/>
    <w:rsid w:val="00221565"/>
    <w:rsid w:val="0023146E"/>
    <w:rsid w:val="00423825"/>
    <w:rsid w:val="006A02AB"/>
    <w:rsid w:val="00F02DD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09A72"/>
  <w15:chartTrackingRefBased/>
  <w15:docId w15:val="{FA993065-FCE5-4A66-A819-823FB0263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6A02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6A02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6A02AB"/>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6A02AB"/>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6A02AB"/>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6A02AB"/>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6A02AB"/>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6A02AB"/>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6A02AB"/>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A02AB"/>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6A02AB"/>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6A02AB"/>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6A02AB"/>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6A02AB"/>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6A02AB"/>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6A02AB"/>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6A02AB"/>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6A02AB"/>
    <w:rPr>
      <w:rFonts w:eastAsiaTheme="majorEastAsia" w:cstheme="majorBidi"/>
      <w:color w:val="272727" w:themeColor="text1" w:themeTint="D8"/>
    </w:rPr>
  </w:style>
  <w:style w:type="paragraph" w:styleId="Titolo">
    <w:name w:val="Title"/>
    <w:basedOn w:val="Normale"/>
    <w:next w:val="Normale"/>
    <w:link w:val="TitoloCarattere"/>
    <w:uiPriority w:val="10"/>
    <w:qFormat/>
    <w:rsid w:val="006A02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6A02AB"/>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6A02AB"/>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6A02AB"/>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6A02AB"/>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6A02AB"/>
    <w:rPr>
      <w:i/>
      <w:iCs/>
      <w:color w:val="404040" w:themeColor="text1" w:themeTint="BF"/>
    </w:rPr>
  </w:style>
  <w:style w:type="paragraph" w:styleId="Paragrafoelenco">
    <w:name w:val="List Paragraph"/>
    <w:basedOn w:val="Normale"/>
    <w:uiPriority w:val="34"/>
    <w:qFormat/>
    <w:rsid w:val="006A02AB"/>
    <w:pPr>
      <w:ind w:left="720"/>
      <w:contextualSpacing/>
    </w:pPr>
  </w:style>
  <w:style w:type="character" w:styleId="Enfasiintensa">
    <w:name w:val="Intense Emphasis"/>
    <w:basedOn w:val="Carpredefinitoparagrafo"/>
    <w:uiPriority w:val="21"/>
    <w:qFormat/>
    <w:rsid w:val="006A02AB"/>
    <w:rPr>
      <w:i/>
      <w:iCs/>
      <w:color w:val="0F4761" w:themeColor="accent1" w:themeShade="BF"/>
    </w:rPr>
  </w:style>
  <w:style w:type="paragraph" w:styleId="Citazioneintensa">
    <w:name w:val="Intense Quote"/>
    <w:basedOn w:val="Normale"/>
    <w:next w:val="Normale"/>
    <w:link w:val="CitazioneintensaCarattere"/>
    <w:uiPriority w:val="30"/>
    <w:qFormat/>
    <w:rsid w:val="006A02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6A02AB"/>
    <w:rPr>
      <w:i/>
      <w:iCs/>
      <w:color w:val="0F4761" w:themeColor="accent1" w:themeShade="BF"/>
    </w:rPr>
  </w:style>
  <w:style w:type="character" w:styleId="Riferimentointenso">
    <w:name w:val="Intense Reference"/>
    <w:basedOn w:val="Carpredefinitoparagrafo"/>
    <w:uiPriority w:val="32"/>
    <w:qFormat/>
    <w:rsid w:val="006A02AB"/>
    <w:rPr>
      <w:b/>
      <w:bCs/>
      <w:smallCaps/>
      <w:color w:val="0F4761" w:themeColor="accent1" w:themeShade="BF"/>
      <w:spacing w:val="5"/>
    </w:rPr>
  </w:style>
  <w:style w:type="paragraph" w:styleId="Intestazione">
    <w:name w:val="header"/>
    <w:basedOn w:val="Normale"/>
    <w:link w:val="IntestazioneCarattere"/>
    <w:uiPriority w:val="99"/>
    <w:unhideWhenUsed/>
    <w:rsid w:val="006A02AB"/>
    <w:pPr>
      <w:tabs>
        <w:tab w:val="center" w:pos="4819"/>
        <w:tab w:val="right" w:pos="9638"/>
      </w:tabs>
      <w:spacing w:after="0" w:line="240" w:lineRule="auto"/>
    </w:pPr>
    <w:rPr>
      <w:kern w:val="0"/>
      <w14:ligatures w14:val="none"/>
    </w:rPr>
  </w:style>
  <w:style w:type="character" w:customStyle="1" w:styleId="IntestazioneCarattere">
    <w:name w:val="Intestazione Carattere"/>
    <w:basedOn w:val="Carpredefinitoparagrafo"/>
    <w:link w:val="Intestazione"/>
    <w:uiPriority w:val="99"/>
    <w:rsid w:val="006A02AB"/>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545</Words>
  <Characters>3108</Characters>
  <Application>Microsoft Office Word</Application>
  <DocSecurity>0</DocSecurity>
  <Lines>25</Lines>
  <Paragraphs>7</Paragraphs>
  <ScaleCrop>false</ScaleCrop>
  <Company>Regione Emilia-Romagna</Company>
  <LinksUpToDate>false</LinksUpToDate>
  <CharactersWithSpaces>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Fedriga Paola</dc:creator>
  <cp:keywords/>
  <dc:description/>
  <cp:lastModifiedBy>Fedriga Paola</cp:lastModifiedBy>
  <cp:revision>3</cp:revision>
  <dcterms:created xsi:type="dcterms:W3CDTF">2024-08-09T10:27:00Z</dcterms:created>
  <dcterms:modified xsi:type="dcterms:W3CDTF">2024-08-09T10:31:00Z</dcterms:modified>
</cp:coreProperties>
</file>