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7C7E" w14:textId="77777777" w:rsidR="000F6485" w:rsidRPr="008D2E83" w:rsidRDefault="000F6485" w:rsidP="000F648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D2E83">
        <w:rPr>
          <w:rFonts w:ascii="Calibri" w:hAnsi="Calibri" w:cs="Calibri"/>
          <w:b/>
          <w:bCs/>
          <w:sz w:val="24"/>
          <w:szCs w:val="24"/>
        </w:rPr>
        <w:t>Le Agende trasformative urbane per lo sviluppo sostenibile (</w:t>
      </w:r>
      <w:proofErr w:type="spellStart"/>
      <w:r w:rsidRPr="008D2E83">
        <w:rPr>
          <w:rFonts w:ascii="Calibri" w:hAnsi="Calibri" w:cs="Calibri"/>
          <w:b/>
          <w:bCs/>
          <w:sz w:val="24"/>
          <w:szCs w:val="24"/>
        </w:rPr>
        <w:t>Atuss</w:t>
      </w:r>
      <w:proofErr w:type="spellEnd"/>
      <w:r w:rsidRPr="008D2E83">
        <w:rPr>
          <w:rFonts w:ascii="Calibri" w:hAnsi="Calibri" w:cs="Calibri"/>
          <w:b/>
          <w:bCs/>
          <w:sz w:val="24"/>
          <w:szCs w:val="24"/>
        </w:rPr>
        <w:t xml:space="preserve">) </w:t>
      </w:r>
    </w:p>
    <w:p w14:paraId="3845C7D7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8104351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</w:t>
      </w:r>
      <w:r>
        <w:rPr>
          <w:rFonts w:ascii="Calibri" w:hAnsi="Calibri" w:cs="Calibri"/>
          <w:b/>
          <w:bCs/>
          <w:sz w:val="24"/>
          <w:szCs w:val="24"/>
        </w:rPr>
        <w:t>Agende trasformative urbane per lo sviluppo sostenibile</w:t>
      </w:r>
      <w:r>
        <w:rPr>
          <w:rFonts w:ascii="Calibri" w:hAnsi="Calibri" w:cs="Calibri"/>
          <w:sz w:val="24"/>
          <w:szCs w:val="24"/>
        </w:rPr>
        <w:t xml:space="preserve"> coinvolgono le città e i sistemi territoriali urbani e intermedi, comprese le Unioni di Comuni con popolazione superiore ai 50mila abitanti e in possesso di determinati requisiti. </w:t>
      </w:r>
    </w:p>
    <w:p w14:paraId="52F36DD1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Tra questi, nel caso delle Unioni di comuni, un sufficiente grado di maturità istruzionale e gestione associata delle funzioni connesse all’elaborazione e attuazione di programmazioni strategiche. </w:t>
      </w:r>
    </w:p>
    <w:p w14:paraId="5FC8BA46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tutto, le </w:t>
      </w:r>
      <w:proofErr w:type="spellStart"/>
      <w:r>
        <w:rPr>
          <w:rFonts w:ascii="Calibri" w:hAnsi="Calibri" w:cs="Calibri"/>
          <w:sz w:val="24"/>
          <w:szCs w:val="24"/>
        </w:rPr>
        <w:t>Atuss</w:t>
      </w:r>
      <w:proofErr w:type="spellEnd"/>
      <w:r>
        <w:rPr>
          <w:rFonts w:ascii="Calibri" w:hAnsi="Calibri" w:cs="Calibri"/>
          <w:sz w:val="24"/>
          <w:szCs w:val="24"/>
        </w:rPr>
        <w:t xml:space="preserve"> sono 14: Piacenza, Parma, Reggio Emilia, Modena, Bologna, Ferrara, Forlì, Ravenna,</w:t>
      </w:r>
    </w:p>
    <w:p w14:paraId="329EF6FB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Rimini, Cesena (con Mercato Saraceno, Montiano e Sarsina), Nuovo Circondario Imolese, Unione</w:t>
      </w:r>
    </w:p>
    <w:p w14:paraId="1775D613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Terre d’Argine, Unione Bassa Romagna, Unione Romagna Faentina.</w:t>
      </w:r>
    </w:p>
    <w:p w14:paraId="1EA2570B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Complessivamente sono a disposizione risorse per </w:t>
      </w:r>
      <w:r>
        <w:rPr>
          <w:rFonts w:ascii="Calibri" w:hAnsi="Calibri" w:cs="Calibri"/>
          <w:b/>
          <w:bCs/>
          <w:sz w:val="24"/>
          <w:szCs w:val="24"/>
        </w:rPr>
        <w:t>114,5 milioni di euro</w:t>
      </w:r>
      <w:r>
        <w:rPr>
          <w:rFonts w:ascii="Calibri" w:hAnsi="Calibri" w:cs="Calibri"/>
          <w:sz w:val="24"/>
          <w:szCs w:val="24"/>
        </w:rPr>
        <w:t xml:space="preserve"> grazie alla programmazione</w:t>
      </w:r>
    </w:p>
    <w:p w14:paraId="54F2070E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dei fondi europei FESR e FSE+ 2021-2027 che, considerando i cofinanziamenti locali, mobiliteranno</w:t>
      </w:r>
    </w:p>
    <w:p w14:paraId="6405778E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investimenti per </w:t>
      </w:r>
      <w:r>
        <w:rPr>
          <w:rFonts w:ascii="Calibri" w:hAnsi="Calibri" w:cs="Calibri"/>
          <w:b/>
          <w:bCs/>
          <w:sz w:val="24"/>
          <w:szCs w:val="24"/>
        </w:rPr>
        <w:t>oltre 164 milioni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40C869C3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Nelle loro strategie, Comuni e Unioni hanno presentato 109 proposte: 14 riguardano le comunità digitali, 25 le infrastrutture verdi e l’energia rinnovabile, 52 la rigenerazione urbana, i percorsi cicloturistici, la cultura, 18 l’inclusione sociale e l’orientamento dei giovani. </w:t>
      </w:r>
    </w:p>
    <w:p w14:paraId="638E3C3F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Alle </w:t>
      </w:r>
      <w:proofErr w:type="spellStart"/>
      <w:r>
        <w:rPr>
          <w:rFonts w:ascii="Calibri" w:hAnsi="Calibri" w:cs="Calibri"/>
          <w:sz w:val="24"/>
          <w:szCs w:val="24"/>
        </w:rPr>
        <w:t>Atuss</w:t>
      </w:r>
      <w:proofErr w:type="spellEnd"/>
      <w:r>
        <w:rPr>
          <w:rFonts w:ascii="Calibri" w:hAnsi="Calibri" w:cs="Calibri"/>
          <w:sz w:val="24"/>
          <w:szCs w:val="24"/>
        </w:rPr>
        <w:t xml:space="preserve"> si affiancano, con strategie diverse perché diverse sono le aree e le esigenze, le </w:t>
      </w:r>
      <w:r>
        <w:rPr>
          <w:rFonts w:ascii="Calibri" w:hAnsi="Calibri" w:cs="Calibri"/>
          <w:b/>
          <w:bCs/>
          <w:sz w:val="24"/>
          <w:szCs w:val="24"/>
        </w:rPr>
        <w:t>Strategie</w:t>
      </w:r>
    </w:p>
    <w:p w14:paraId="62AA37FE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Territoriali Integrate per le Aree Montane e Interne (Stami)</w:t>
      </w:r>
      <w:r>
        <w:rPr>
          <w:rFonts w:ascii="Calibri" w:hAnsi="Calibri" w:cs="Calibri"/>
          <w:sz w:val="24"/>
          <w:szCs w:val="24"/>
        </w:rPr>
        <w:t>, che invece coinvolgono le aree e i</w:t>
      </w:r>
    </w:p>
    <w:p w14:paraId="3732F5D3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territori più fragili e periferici dell’Emilia-Romagna, cioè gli Appennini e il Basso Ferrarese. </w:t>
      </w:r>
    </w:p>
    <w:p w14:paraId="390D5E5E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L’obiettivo è contrastare i divari territoriali, garantendo ovunque opportunità e servizi di prossimità,</w:t>
      </w:r>
    </w:p>
    <w:p w14:paraId="50EA1743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valorizzando identità e potenzialità dei singoli territori e dei singoli luoghi per attuare nuovi processi</w:t>
      </w:r>
    </w:p>
    <w:p w14:paraId="3F8B3A62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sviluppo. Le Stami, in corso di definizione, potranno contare su ulteriori risorse, tra fondi europei</w:t>
      </w:r>
    </w:p>
    <w:p w14:paraId="5B4BA1A9" w14:textId="77777777" w:rsidR="000F6485" w:rsidRDefault="000F6485" w:rsidP="000F64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 finanziamenti nazionali oltre </w:t>
      </w:r>
      <w:r>
        <w:rPr>
          <w:rFonts w:ascii="Calibri" w:hAnsi="Calibri" w:cs="Calibri"/>
          <w:b/>
          <w:bCs/>
          <w:sz w:val="24"/>
          <w:szCs w:val="24"/>
        </w:rPr>
        <w:t>91 milioni di euro</w:t>
      </w:r>
      <w:r>
        <w:rPr>
          <w:rFonts w:ascii="Calibri" w:hAnsi="Calibri" w:cs="Calibri"/>
          <w:sz w:val="24"/>
          <w:szCs w:val="24"/>
        </w:rPr>
        <w:t>, e su un’assistenza tecnica dedicata che in queste</w:t>
      </w:r>
    </w:p>
    <w:p w14:paraId="7F85A4FC" w14:textId="77777777" w:rsidR="000F6485" w:rsidRDefault="000F6485" w:rsidP="000F6485">
      <w:pPr>
        <w:spacing w:after="0" w:line="240" w:lineRule="auto"/>
        <w:jc w:val="both"/>
      </w:pPr>
      <w:r>
        <w:rPr>
          <w:rFonts w:ascii="Calibri" w:hAnsi="Calibri" w:cs="Calibri"/>
          <w:sz w:val="24"/>
          <w:szCs w:val="24"/>
        </w:rPr>
        <w:t>realtà può rivelarsi decisiva.</w:t>
      </w:r>
    </w:p>
    <w:p w14:paraId="0B5DDFC9" w14:textId="77777777" w:rsidR="00F02DD1" w:rsidRDefault="00F02DD1"/>
    <w:sectPr w:rsidR="00F02DD1" w:rsidSect="000F648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85"/>
    <w:rsid w:val="000F6485"/>
    <w:rsid w:val="00423825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15C8"/>
  <w15:chartTrackingRefBased/>
  <w15:docId w15:val="{CE314FFE-FBE4-416A-BAB9-312A9E9B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485"/>
  </w:style>
  <w:style w:type="paragraph" w:styleId="Titolo1">
    <w:name w:val="heading 1"/>
    <w:basedOn w:val="Normale"/>
    <w:next w:val="Normale"/>
    <w:link w:val="Titolo1Carattere"/>
    <w:uiPriority w:val="9"/>
    <w:qFormat/>
    <w:rsid w:val="000F6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6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6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6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6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6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6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6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6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6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6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6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64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64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64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64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64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64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6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6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6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6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6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64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64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64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6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64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6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>Regione Emilia-Romagna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2024-01-19T15:15:00Z</dcterms:created>
  <dcterms:modified xsi:type="dcterms:W3CDTF">2024-01-19T15:16:00Z</dcterms:modified>
</cp:coreProperties>
</file>