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B010" w14:textId="77777777" w:rsidR="00B4507C" w:rsidRPr="00865DE9" w:rsidRDefault="00B4507C" w:rsidP="00B45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65DE9">
        <w:rPr>
          <w:rFonts w:cstheme="minorHAnsi"/>
          <w:b/>
          <w:bCs/>
          <w:sz w:val="24"/>
          <w:szCs w:val="24"/>
        </w:rPr>
        <w:t>I quattro progetti</w:t>
      </w:r>
    </w:p>
    <w:p w14:paraId="20E74263" w14:textId="77777777" w:rsidR="00B4507C" w:rsidRPr="00865DE9" w:rsidRDefault="00B4507C" w:rsidP="00B45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65DE9">
        <w:rPr>
          <w:rFonts w:cstheme="minorHAnsi"/>
          <w:b/>
          <w:bCs/>
          <w:sz w:val="24"/>
          <w:szCs w:val="24"/>
        </w:rPr>
        <w:br/>
        <w:t>Ferrara</w:t>
      </w:r>
      <w:r w:rsidRPr="00865DE9">
        <w:rPr>
          <w:rFonts w:cstheme="minorHAnsi"/>
          <w:b/>
          <w:bCs/>
          <w:sz w:val="24"/>
          <w:szCs w:val="24"/>
        </w:rPr>
        <w:br/>
      </w:r>
      <w:r w:rsidRPr="00865DE9">
        <w:rPr>
          <w:rFonts w:cstheme="minorHAnsi"/>
          <w:sz w:val="24"/>
          <w:szCs w:val="24"/>
        </w:rPr>
        <w:t xml:space="preserve">Il progetto presentato dalla Università degli Studi di Ferrara per il </w:t>
      </w:r>
      <w:r w:rsidRPr="00865DE9">
        <w:rPr>
          <w:rFonts w:cstheme="minorHAnsi"/>
          <w:b/>
          <w:bCs/>
          <w:sz w:val="24"/>
          <w:szCs w:val="24"/>
        </w:rPr>
        <w:t>Tecnopolo ferrarese</w:t>
      </w:r>
      <w:r w:rsidRPr="00865DE9">
        <w:rPr>
          <w:rFonts w:cstheme="minorHAnsi"/>
          <w:sz w:val="24"/>
          <w:szCs w:val="24"/>
        </w:rPr>
        <w:t xml:space="preserve">, finanziato dalla Regione con circa </w:t>
      </w:r>
      <w:r w:rsidRPr="00865DE9">
        <w:rPr>
          <w:rFonts w:cstheme="minorHAnsi"/>
          <w:b/>
          <w:bCs/>
          <w:sz w:val="24"/>
          <w:szCs w:val="24"/>
        </w:rPr>
        <w:t>2,1 milioni di euro</w:t>
      </w:r>
      <w:r w:rsidRPr="00865DE9">
        <w:rPr>
          <w:rFonts w:cstheme="minorHAnsi"/>
          <w:sz w:val="24"/>
          <w:szCs w:val="24"/>
        </w:rPr>
        <w:t xml:space="preserve">, ha l’obiettivo di potenziare le infrastrutture di ricerca investendo nella crescita qualitativa e quantitativa di </w:t>
      </w:r>
      <w:r w:rsidRPr="00865DE9">
        <w:rPr>
          <w:rFonts w:cstheme="minorHAnsi"/>
          <w:b/>
          <w:bCs/>
          <w:sz w:val="24"/>
          <w:szCs w:val="24"/>
        </w:rPr>
        <w:t>servizi da offrire alle imprese e alle istituzioni</w:t>
      </w:r>
      <w:r w:rsidRPr="00865DE9">
        <w:rPr>
          <w:rFonts w:cstheme="minorHAnsi"/>
          <w:sz w:val="24"/>
          <w:szCs w:val="24"/>
        </w:rPr>
        <w:t xml:space="preserve">, grazie all’acquisto di attrezzature scientifiche e dotazioni informatiche e telematiche all’avanguardia. </w:t>
      </w:r>
    </w:p>
    <w:p w14:paraId="62EA8B15" w14:textId="77777777" w:rsidR="00B4507C" w:rsidRPr="00865DE9" w:rsidRDefault="00B4507C" w:rsidP="00B4507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65DE9">
        <w:rPr>
          <w:rFonts w:cstheme="minorHAnsi"/>
          <w:sz w:val="24"/>
          <w:szCs w:val="24"/>
        </w:rPr>
        <w:t xml:space="preserve">Si potranno così sviluppare le attività dei laboratori di ricerca industriale universitari accreditati alla </w:t>
      </w:r>
      <w:r w:rsidRPr="00865DE9">
        <w:rPr>
          <w:rFonts w:cstheme="minorHAnsi"/>
          <w:b/>
          <w:bCs/>
          <w:sz w:val="24"/>
          <w:szCs w:val="24"/>
        </w:rPr>
        <w:t>Rete Alta Tecnologia della Regione Emilia-Romagna</w:t>
      </w:r>
      <w:r w:rsidRPr="00865DE9">
        <w:rPr>
          <w:rFonts w:cstheme="minorHAnsi"/>
          <w:sz w:val="24"/>
          <w:szCs w:val="24"/>
        </w:rPr>
        <w:t>, negli ambiti di meccanica, elettronica, informatica,  telecomunicazione  acustica e telecomunicazioni (Laboratorio Mech-</w:t>
      </w:r>
      <w:proofErr w:type="spellStart"/>
      <w:r w:rsidRPr="00865DE9">
        <w:rPr>
          <w:rFonts w:cstheme="minorHAnsi"/>
          <w:sz w:val="24"/>
          <w:szCs w:val="24"/>
        </w:rPr>
        <w:t>Lav</w:t>
      </w:r>
      <w:proofErr w:type="spellEnd"/>
      <w:r w:rsidRPr="00865DE9">
        <w:rPr>
          <w:rFonts w:cstheme="minorHAnsi"/>
          <w:sz w:val="24"/>
          <w:szCs w:val="24"/>
        </w:rPr>
        <w:t xml:space="preserve">); ambiente, agrifood e di green economy, riduzione dell’impiego di risorse e degli scarti in un’ottica di economia circolare (Laboratorio </w:t>
      </w:r>
      <w:proofErr w:type="spellStart"/>
      <w:r w:rsidRPr="00865DE9">
        <w:rPr>
          <w:rFonts w:cstheme="minorHAnsi"/>
          <w:sz w:val="24"/>
          <w:szCs w:val="24"/>
        </w:rPr>
        <w:t>Terra&amp;AcquaTech</w:t>
      </w:r>
      <w:proofErr w:type="spellEnd"/>
      <w:r w:rsidRPr="00865DE9">
        <w:rPr>
          <w:rFonts w:cstheme="minorHAnsi"/>
          <w:sz w:val="24"/>
          <w:szCs w:val="24"/>
        </w:rPr>
        <w:t xml:space="preserve">); salute, benessere e agroindustriale (Laboratorio </w:t>
      </w:r>
      <w:proofErr w:type="spellStart"/>
      <w:r w:rsidRPr="00865DE9">
        <w:rPr>
          <w:rFonts w:cstheme="minorHAnsi"/>
          <w:sz w:val="24"/>
          <w:szCs w:val="24"/>
        </w:rPr>
        <w:t>Ltta</w:t>
      </w:r>
      <w:proofErr w:type="spellEnd"/>
      <w:r w:rsidRPr="00865DE9">
        <w:rPr>
          <w:rFonts w:cstheme="minorHAnsi"/>
          <w:sz w:val="24"/>
          <w:szCs w:val="24"/>
        </w:rPr>
        <w:t xml:space="preserve">); restauro, tecnologia  dei materiali  ceramici e metallici, sanificazione degli ambienti ad alta sterilità, anche attraverso la valorizzazione di  energie rinnovabili e all’efficientamento energetico (Laboratorio </w:t>
      </w:r>
      <w:proofErr w:type="spellStart"/>
      <w:r w:rsidRPr="00865DE9">
        <w:rPr>
          <w:rFonts w:cstheme="minorHAnsi"/>
          <w:sz w:val="24"/>
          <w:szCs w:val="24"/>
        </w:rPr>
        <w:t>TekneHub</w:t>
      </w:r>
      <w:proofErr w:type="spellEnd"/>
      <w:r w:rsidRPr="00865DE9">
        <w:rPr>
          <w:rFonts w:cstheme="minorHAnsi"/>
          <w:sz w:val="24"/>
          <w:szCs w:val="24"/>
        </w:rPr>
        <w:t>).</w:t>
      </w:r>
    </w:p>
    <w:p w14:paraId="5AE68A88" w14:textId="77777777" w:rsidR="00B4507C" w:rsidRPr="00865DE9" w:rsidRDefault="00B4507C" w:rsidP="00B4507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65DE9">
        <w:rPr>
          <w:rFonts w:cstheme="minorHAnsi"/>
          <w:sz w:val="24"/>
          <w:szCs w:val="24"/>
        </w:rPr>
        <w:t>Questo progetto completa l’intervento sul Tecnopolo di Ferrara, per il quale era già stato approvato quello di Cnr-</w:t>
      </w:r>
      <w:proofErr w:type="spellStart"/>
      <w:r w:rsidRPr="00865DE9">
        <w:rPr>
          <w:rFonts w:cstheme="minorHAnsi"/>
          <w:sz w:val="24"/>
          <w:szCs w:val="24"/>
        </w:rPr>
        <w:t>Steams</w:t>
      </w:r>
      <w:proofErr w:type="spellEnd"/>
      <w:r w:rsidRPr="00865DE9">
        <w:rPr>
          <w:rFonts w:cstheme="minorHAnsi"/>
          <w:sz w:val="24"/>
          <w:szCs w:val="24"/>
        </w:rPr>
        <w:t>.</w:t>
      </w:r>
    </w:p>
    <w:p w14:paraId="595D5E71" w14:textId="77777777" w:rsidR="00B4507C" w:rsidRPr="00865DE9" w:rsidRDefault="00B4507C" w:rsidP="00B4507C">
      <w:pPr>
        <w:spacing w:after="0" w:line="240" w:lineRule="auto"/>
        <w:jc w:val="both"/>
        <w:rPr>
          <w:sz w:val="24"/>
          <w:szCs w:val="24"/>
        </w:rPr>
      </w:pPr>
    </w:p>
    <w:p w14:paraId="6DFD097D" w14:textId="77777777" w:rsidR="00B4507C" w:rsidRPr="00865DE9" w:rsidRDefault="00B4507C" w:rsidP="00B45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65DE9">
        <w:rPr>
          <w:rFonts w:cstheme="minorHAnsi"/>
          <w:b/>
          <w:bCs/>
          <w:sz w:val="24"/>
          <w:szCs w:val="24"/>
        </w:rPr>
        <w:t>Rimini</w:t>
      </w:r>
      <w:r w:rsidRPr="00865DE9">
        <w:rPr>
          <w:rFonts w:cstheme="minorHAnsi"/>
          <w:b/>
          <w:bCs/>
          <w:sz w:val="24"/>
          <w:szCs w:val="24"/>
        </w:rPr>
        <w:br/>
      </w:r>
      <w:r w:rsidRPr="00865DE9">
        <w:rPr>
          <w:rFonts w:cstheme="minorHAnsi"/>
          <w:sz w:val="24"/>
          <w:szCs w:val="24"/>
        </w:rPr>
        <w:t xml:space="preserve">Il progetto approvato presentato dal Comune di Rimini per il potenziamento del </w:t>
      </w:r>
      <w:r w:rsidRPr="00865DE9">
        <w:rPr>
          <w:rFonts w:cstheme="minorHAnsi"/>
          <w:b/>
          <w:bCs/>
          <w:sz w:val="24"/>
          <w:szCs w:val="24"/>
        </w:rPr>
        <w:t>Tecnopolo riminese</w:t>
      </w:r>
      <w:r w:rsidRPr="00865DE9">
        <w:rPr>
          <w:rFonts w:cstheme="minorHAnsi"/>
          <w:sz w:val="24"/>
          <w:szCs w:val="24"/>
        </w:rPr>
        <w:t xml:space="preserve">, ottiene un contributo dalla Regione di </w:t>
      </w:r>
      <w:r w:rsidRPr="00865DE9">
        <w:rPr>
          <w:rFonts w:cstheme="minorHAnsi"/>
          <w:b/>
          <w:bCs/>
          <w:sz w:val="24"/>
          <w:szCs w:val="24"/>
        </w:rPr>
        <w:t>1,5 milioni di euro</w:t>
      </w:r>
      <w:r w:rsidRPr="00865DE9">
        <w:rPr>
          <w:rFonts w:cstheme="minorHAnsi"/>
          <w:sz w:val="24"/>
          <w:szCs w:val="24"/>
        </w:rPr>
        <w:t xml:space="preserve">. Consentirà l’adeguamento dell’infrastruttura per il rafforzamento delle attività di ricerca dei laboratori nell’ambito della </w:t>
      </w:r>
      <w:r w:rsidRPr="00865DE9">
        <w:rPr>
          <w:rFonts w:cstheme="minorHAnsi"/>
          <w:b/>
          <w:bCs/>
          <w:sz w:val="24"/>
          <w:szCs w:val="24"/>
        </w:rPr>
        <w:t>economia circolare, benessere della persona, nutrizione e stili di vita e salute</w:t>
      </w:r>
      <w:r w:rsidRPr="00865DE9">
        <w:rPr>
          <w:rFonts w:cstheme="minorHAnsi"/>
          <w:sz w:val="24"/>
          <w:szCs w:val="24"/>
        </w:rPr>
        <w:t xml:space="preserve">, oltre che l’inserimento nella struttura di un ulteriore laboratorio, quello dell’unità operativa riminese del Centro Interdipartimentale di Ricerca Industriale sulle Tecnologie dell'Informazione e della Comunicazione (Ciri </w:t>
      </w:r>
      <w:proofErr w:type="spellStart"/>
      <w:r w:rsidRPr="00865DE9">
        <w:rPr>
          <w:rFonts w:cstheme="minorHAnsi"/>
          <w:sz w:val="24"/>
          <w:szCs w:val="24"/>
        </w:rPr>
        <w:t>Ict</w:t>
      </w:r>
      <w:proofErr w:type="spellEnd"/>
      <w:r w:rsidRPr="00865DE9">
        <w:rPr>
          <w:rFonts w:cstheme="minorHAnsi"/>
          <w:sz w:val="24"/>
          <w:szCs w:val="24"/>
        </w:rPr>
        <w:t>).</w:t>
      </w:r>
    </w:p>
    <w:p w14:paraId="1F61E497" w14:textId="77777777" w:rsidR="00B4507C" w:rsidRPr="00865DE9" w:rsidRDefault="00B4507C" w:rsidP="00B45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8B4927" w14:textId="77777777" w:rsidR="00B4507C" w:rsidRPr="00865DE9" w:rsidRDefault="00B4507C" w:rsidP="00B450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65DE9">
        <w:rPr>
          <w:rFonts w:ascii="Calibri" w:hAnsi="Calibri" w:cs="Calibri"/>
          <w:b/>
          <w:bCs/>
          <w:sz w:val="24"/>
          <w:szCs w:val="24"/>
        </w:rPr>
        <w:t>Parma</w:t>
      </w:r>
      <w:r w:rsidRPr="00865DE9">
        <w:rPr>
          <w:rFonts w:ascii="Calibri" w:hAnsi="Calibri" w:cs="Calibri"/>
          <w:b/>
          <w:bCs/>
          <w:sz w:val="24"/>
          <w:szCs w:val="24"/>
        </w:rPr>
        <w:br/>
      </w:r>
      <w:r w:rsidRPr="00865DE9">
        <w:rPr>
          <w:rFonts w:ascii="Calibri" w:hAnsi="Calibri" w:cs="Calibri"/>
          <w:sz w:val="24"/>
          <w:szCs w:val="24"/>
        </w:rPr>
        <w:t xml:space="preserve">Per il </w:t>
      </w:r>
      <w:r w:rsidRPr="00865DE9">
        <w:rPr>
          <w:rFonts w:ascii="Calibri" w:hAnsi="Calibri" w:cs="Calibri"/>
          <w:b/>
          <w:bCs/>
          <w:sz w:val="24"/>
          <w:szCs w:val="24"/>
        </w:rPr>
        <w:t>Tecnopolo di Parma</w:t>
      </w:r>
      <w:r w:rsidRPr="00865DE9">
        <w:rPr>
          <w:rFonts w:ascii="Calibri" w:hAnsi="Calibri" w:cs="Calibri"/>
          <w:sz w:val="24"/>
          <w:szCs w:val="24"/>
        </w:rPr>
        <w:t xml:space="preserve"> il progetto è stato presentato dalla </w:t>
      </w:r>
      <w:r w:rsidRPr="00865DE9">
        <w:rPr>
          <w:rFonts w:ascii="Calibri" w:hAnsi="Calibri" w:cs="Calibri"/>
          <w:b/>
          <w:bCs/>
          <w:sz w:val="24"/>
          <w:szCs w:val="24"/>
        </w:rPr>
        <w:t>Università degli Studi di Parma</w:t>
      </w:r>
      <w:r w:rsidRPr="00865DE9">
        <w:rPr>
          <w:rFonts w:ascii="Calibri" w:hAnsi="Calibri" w:cs="Calibri"/>
          <w:sz w:val="24"/>
          <w:szCs w:val="24"/>
        </w:rPr>
        <w:t xml:space="preserve">, per un contributo di </w:t>
      </w:r>
      <w:proofErr w:type="gramStart"/>
      <w:r w:rsidRPr="00865DE9">
        <w:rPr>
          <w:rFonts w:ascii="Calibri" w:hAnsi="Calibri" w:cs="Calibri"/>
          <w:b/>
          <w:bCs/>
          <w:sz w:val="24"/>
          <w:szCs w:val="24"/>
        </w:rPr>
        <w:t>2</w:t>
      </w:r>
      <w:proofErr w:type="gramEnd"/>
      <w:r w:rsidRPr="00865DE9">
        <w:rPr>
          <w:rFonts w:ascii="Calibri" w:hAnsi="Calibri" w:cs="Calibri"/>
          <w:b/>
          <w:bCs/>
          <w:sz w:val="24"/>
          <w:szCs w:val="24"/>
        </w:rPr>
        <w:t xml:space="preserve"> milioni</w:t>
      </w:r>
      <w:r w:rsidRPr="00865DE9">
        <w:rPr>
          <w:rFonts w:ascii="Calibri" w:hAnsi="Calibri" w:cs="Calibri"/>
          <w:sz w:val="24"/>
          <w:szCs w:val="24"/>
        </w:rPr>
        <w:t xml:space="preserve"> di euro. Il contributo è destinato a finanziare i</w:t>
      </w:r>
      <w:r w:rsidRPr="00865DE9">
        <w:rPr>
          <w:rFonts w:ascii="Calibri" w:eastAsia="MS Mincho" w:hAnsi="Calibri" w:cs="Calibri"/>
          <w:sz w:val="24"/>
          <w:szCs w:val="24"/>
          <w:lang w:eastAsia="it-IT"/>
        </w:rPr>
        <w:t xml:space="preserve">l potenziamento del Tecnopolo attraverso l’acquisizione di strumentazione di ricerca e tecnologica per sviluppare soluzioni ingegneristiche avanzate per l’industria, al fine di favorire la sostenibilità nei processi di produzione, ingegnerizzazione, caratterizzazione e formulazione di medicinali innovativi, con particolare riguardo a quelli contenenti proteine di interesse farmaceutico e allo studio di modalità di veicolazione innovative. </w:t>
      </w:r>
    </w:p>
    <w:p w14:paraId="3F821DE8" w14:textId="77777777" w:rsidR="00B4507C" w:rsidRPr="00865DE9" w:rsidRDefault="00B4507C" w:rsidP="00B450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sz w:val="24"/>
          <w:szCs w:val="24"/>
          <w:lang w:eastAsia="it-IT"/>
        </w:rPr>
      </w:pPr>
      <w:r w:rsidRPr="00865DE9">
        <w:rPr>
          <w:rFonts w:ascii="Calibri" w:eastAsia="MS Mincho" w:hAnsi="Calibri" w:cs="Calibri"/>
          <w:sz w:val="24"/>
          <w:szCs w:val="24"/>
          <w:lang w:eastAsia="it-IT"/>
        </w:rPr>
        <w:t xml:space="preserve">L’intervento presentato dall’Università degli Studi di Parma prevede anche un </w:t>
      </w:r>
      <w:r>
        <w:rPr>
          <w:rFonts w:ascii="Calibri" w:eastAsia="MS Mincho" w:hAnsi="Calibri" w:cs="Calibri"/>
          <w:sz w:val="24"/>
          <w:szCs w:val="24"/>
          <w:lang w:eastAsia="it-IT"/>
        </w:rPr>
        <w:t>progetto</w:t>
      </w:r>
      <w:r w:rsidRPr="00865DE9">
        <w:rPr>
          <w:rFonts w:ascii="Calibri" w:eastAsia="MS Mincho" w:hAnsi="Calibri" w:cs="Calibri"/>
          <w:sz w:val="24"/>
          <w:szCs w:val="24"/>
          <w:lang w:eastAsia="it-IT"/>
        </w:rPr>
        <w:t xml:space="preserve"> sull’efficienza energetica dell’edificio.</w:t>
      </w:r>
    </w:p>
    <w:p w14:paraId="7DC224B8" w14:textId="77777777" w:rsidR="00B4507C" w:rsidRPr="00865DE9" w:rsidRDefault="00B4507C" w:rsidP="00B450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sz w:val="24"/>
          <w:szCs w:val="24"/>
          <w:lang w:eastAsia="it-IT"/>
        </w:rPr>
      </w:pPr>
    </w:p>
    <w:p w14:paraId="1C07A613" w14:textId="77777777" w:rsidR="00B4507C" w:rsidRPr="00865DE9" w:rsidRDefault="00B4507C" w:rsidP="00B450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b/>
          <w:bCs/>
          <w:sz w:val="24"/>
          <w:szCs w:val="24"/>
          <w:lang w:eastAsia="it-IT"/>
        </w:rPr>
      </w:pPr>
      <w:r w:rsidRPr="00865DE9">
        <w:rPr>
          <w:rFonts w:ascii="Calibri" w:eastAsia="MS Mincho" w:hAnsi="Calibri" w:cs="Calibri"/>
          <w:b/>
          <w:bCs/>
          <w:sz w:val="24"/>
          <w:szCs w:val="24"/>
          <w:lang w:eastAsia="it-IT"/>
        </w:rPr>
        <w:t>Reggio Emilia</w:t>
      </w:r>
    </w:p>
    <w:p w14:paraId="6C7AEADC" w14:textId="77777777" w:rsidR="00B4507C" w:rsidRPr="00865DE9" w:rsidRDefault="00B4507C" w:rsidP="00B450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sz w:val="24"/>
          <w:szCs w:val="24"/>
          <w:lang w:eastAsia="it-IT"/>
        </w:rPr>
      </w:pPr>
      <w:r w:rsidRPr="00865DE9">
        <w:rPr>
          <w:rFonts w:ascii="Calibri" w:eastAsia="MS Mincho" w:hAnsi="Calibri" w:cs="Calibri"/>
          <w:sz w:val="24"/>
          <w:szCs w:val="24"/>
          <w:lang w:eastAsia="it-IT"/>
        </w:rPr>
        <w:t xml:space="preserve">Il progetto approvato è stato presentato dal Comune di Reggio Emilia </w:t>
      </w:r>
      <w:r>
        <w:rPr>
          <w:rFonts w:ascii="Calibri" w:eastAsia="MS Mincho" w:hAnsi="Calibri" w:cs="Calibri"/>
          <w:sz w:val="24"/>
          <w:szCs w:val="24"/>
          <w:lang w:eastAsia="it-IT"/>
        </w:rPr>
        <w:t>e</w:t>
      </w:r>
      <w:r w:rsidRPr="00865DE9">
        <w:rPr>
          <w:rFonts w:ascii="Calibri" w:eastAsia="MS Mincho" w:hAnsi="Calibri" w:cs="Calibri"/>
          <w:sz w:val="24"/>
          <w:szCs w:val="24"/>
          <w:lang w:eastAsia="it-IT"/>
        </w:rPr>
        <w:t xml:space="preserve"> finanziato con </w:t>
      </w:r>
      <w:proofErr w:type="gramStart"/>
      <w:r w:rsidRPr="00865DE9">
        <w:rPr>
          <w:rFonts w:ascii="Calibri" w:eastAsia="MS Mincho" w:hAnsi="Calibri" w:cs="Calibri"/>
          <w:b/>
          <w:bCs/>
          <w:sz w:val="24"/>
          <w:szCs w:val="24"/>
          <w:lang w:eastAsia="it-IT"/>
        </w:rPr>
        <w:t>2</w:t>
      </w:r>
      <w:proofErr w:type="gramEnd"/>
      <w:r w:rsidRPr="00865DE9">
        <w:rPr>
          <w:rFonts w:ascii="Calibri" w:eastAsia="MS Mincho" w:hAnsi="Calibri" w:cs="Calibri"/>
          <w:b/>
          <w:bCs/>
          <w:sz w:val="24"/>
          <w:szCs w:val="24"/>
          <w:lang w:eastAsia="it-IT"/>
        </w:rPr>
        <w:t xml:space="preserve"> milioni</w:t>
      </w:r>
      <w:r w:rsidRPr="00865DE9">
        <w:rPr>
          <w:rFonts w:ascii="Calibri" w:eastAsia="MS Mincho" w:hAnsi="Calibri" w:cs="Calibri"/>
          <w:sz w:val="24"/>
          <w:szCs w:val="24"/>
          <w:lang w:eastAsia="it-IT"/>
        </w:rPr>
        <w:t xml:space="preserve"> di euro. Il contributo consentirà l’espansione e il potenziamento fisico e funzionale dell'attuale </w:t>
      </w:r>
      <w:r w:rsidRPr="00792186">
        <w:rPr>
          <w:rFonts w:ascii="Calibri" w:eastAsia="MS Mincho" w:hAnsi="Calibri" w:cs="Calibri"/>
          <w:b/>
          <w:bCs/>
          <w:sz w:val="24"/>
          <w:szCs w:val="24"/>
          <w:lang w:eastAsia="it-IT"/>
        </w:rPr>
        <w:t>Tecnopolo</w:t>
      </w:r>
      <w:r w:rsidRPr="00865DE9">
        <w:rPr>
          <w:rFonts w:ascii="Calibri" w:eastAsia="MS Mincho" w:hAnsi="Calibri" w:cs="Calibri"/>
          <w:sz w:val="24"/>
          <w:szCs w:val="24"/>
          <w:lang w:eastAsia="it-IT"/>
        </w:rPr>
        <w:t xml:space="preserve"> tramite la realizzazione di una nuova struttura limitrofa, l'acquisizione di nuove tecnologie per la ricerca nell’ambito della tracciabilità agroalimentare, della digitalizzazione e incremento dell’efficienza dei sistemi produttivi e dei sistemi agricoli, dell’economia circolare, della digitalizzazione e della mobilità sostenibile. </w:t>
      </w:r>
    </w:p>
    <w:p w14:paraId="4290F075" w14:textId="77777777" w:rsidR="00B4507C" w:rsidRPr="00865DE9" w:rsidRDefault="00B4507C" w:rsidP="00B4507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S Mincho" w:hAnsi="Calibri" w:cs="Calibri"/>
          <w:sz w:val="24"/>
          <w:szCs w:val="24"/>
          <w:lang w:eastAsia="it-IT"/>
        </w:rPr>
      </w:pPr>
      <w:r w:rsidRPr="00865DE9">
        <w:rPr>
          <w:rFonts w:ascii="Calibri" w:eastAsia="MS Mincho" w:hAnsi="Calibri" w:cs="Calibri"/>
          <w:sz w:val="24"/>
          <w:szCs w:val="24"/>
          <w:lang w:eastAsia="it-IT"/>
        </w:rPr>
        <w:t xml:space="preserve">L’intervento si pone l’obiettivo di incrementare la quantità degli spazi per la ricerca industriale e il trasferimento tecnologico (laboratori di ricerca e dimostratori di circa 2000 mq) a oggi </w:t>
      </w:r>
      <w:proofErr w:type="spellStart"/>
      <w:r>
        <w:rPr>
          <w:rFonts w:ascii="Calibri" w:eastAsia="MS Mincho" w:hAnsi="Calibri" w:cs="Calibri"/>
          <w:sz w:val="24"/>
          <w:szCs w:val="24"/>
          <w:lang w:eastAsia="it-IT"/>
        </w:rPr>
        <w:t>dispomibili</w:t>
      </w:r>
      <w:proofErr w:type="spellEnd"/>
      <w:r w:rsidRPr="00865DE9">
        <w:rPr>
          <w:rFonts w:ascii="Calibri" w:eastAsia="MS Mincho" w:hAnsi="Calibri" w:cs="Calibri"/>
          <w:sz w:val="24"/>
          <w:szCs w:val="24"/>
          <w:lang w:eastAsia="it-IT"/>
        </w:rPr>
        <w:t xml:space="preserve"> nell’attuale Tecnopolo per una superficie di circa 500 mq. Inoltre, l'attuale Tecnopolo sarà dotato di </w:t>
      </w:r>
      <w:r w:rsidRPr="00865DE9">
        <w:rPr>
          <w:rFonts w:ascii="Calibri" w:eastAsia="MS Mincho" w:hAnsi="Calibri" w:cs="Calibri"/>
          <w:sz w:val="24"/>
          <w:szCs w:val="24"/>
          <w:lang w:eastAsia="it-IT"/>
        </w:rPr>
        <w:lastRenderedPageBreak/>
        <w:t>soluzioni tecniche, impiantistiche e tecnologiche all’avanguardia, nuove dotazioni di parcheggi e di collegamenti ai percorsi ciclo pedonali all’interno del Parco Innovazione. Saranno inoltre implementate le dotazioni tecnologiche del Tecnopolo per favorire lo sviluppo di un unico sistema della ricerca fortemente connesso e integrato. L’intervento presentato e approvato prevede anche un contributo destinato a un intervento di efficienza energetica dell’edificio.</w:t>
      </w:r>
    </w:p>
    <w:p w14:paraId="345CDEE7" w14:textId="77777777" w:rsidR="00F516A0" w:rsidRDefault="00F516A0"/>
    <w:sectPr w:rsidR="00F516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18"/>
    <w:rsid w:val="000D034C"/>
    <w:rsid w:val="00B4507C"/>
    <w:rsid w:val="00DF5318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49C1"/>
  <w15:chartTrackingRefBased/>
  <w15:docId w15:val="{16051FF9-84E3-4D36-A47E-DC5523A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50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Company>Regione Emilia-Romagna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</cp:revision>
  <dcterms:created xsi:type="dcterms:W3CDTF">2024-03-13T10:42:00Z</dcterms:created>
  <dcterms:modified xsi:type="dcterms:W3CDTF">2024-03-13T10:42:00Z</dcterms:modified>
</cp:coreProperties>
</file>