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B45B" w14:textId="1B7AEE86" w:rsidR="00BE1B5A" w:rsidRDefault="00BE1B5A" w:rsidP="0080032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94CCC">
        <w:rPr>
          <w:rFonts w:ascii="Calibri" w:hAnsi="Calibri" w:cs="Calibri"/>
          <w:b/>
          <w:bCs/>
          <w:sz w:val="24"/>
          <w:szCs w:val="24"/>
        </w:rPr>
        <w:t>SCHEDA</w:t>
      </w:r>
    </w:p>
    <w:p w14:paraId="6700CA6E" w14:textId="77777777" w:rsidR="00E90B91" w:rsidRPr="00494CCC" w:rsidRDefault="00E90B91" w:rsidP="00E90B91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94CCC">
        <w:rPr>
          <w:rFonts w:ascii="Calibri" w:hAnsi="Calibri" w:cs="Calibri"/>
          <w:b/>
          <w:bCs/>
          <w:sz w:val="24"/>
          <w:szCs w:val="24"/>
        </w:rPr>
        <w:t>I dati in provincia di Rimini</w:t>
      </w:r>
    </w:p>
    <w:p w14:paraId="2462D6E6" w14:textId="0D727AAD" w:rsidR="00E90B91" w:rsidRPr="00494CCC" w:rsidRDefault="00E90B91" w:rsidP="00E90B91">
      <w:pPr>
        <w:jc w:val="both"/>
        <w:rPr>
          <w:rFonts w:ascii="Calibri" w:hAnsi="Calibri" w:cs="Calibri"/>
          <w:sz w:val="24"/>
          <w:szCs w:val="24"/>
        </w:rPr>
      </w:pPr>
      <w:r w:rsidRPr="00494CCC">
        <w:rPr>
          <w:rFonts w:ascii="Calibri" w:hAnsi="Calibri" w:cs="Calibri"/>
          <w:sz w:val="24"/>
          <w:szCs w:val="24"/>
        </w:rPr>
        <w:t xml:space="preserve">A </w:t>
      </w:r>
      <w:r w:rsidRPr="00494CCC">
        <w:rPr>
          <w:rFonts w:ascii="Calibri" w:hAnsi="Calibri" w:cs="Calibri"/>
          <w:b/>
          <w:bCs/>
          <w:sz w:val="24"/>
          <w:szCs w:val="24"/>
        </w:rPr>
        <w:t>Rimini</w:t>
      </w:r>
      <w:r w:rsidRPr="00494CCC">
        <w:rPr>
          <w:rFonts w:ascii="Calibri" w:hAnsi="Calibri" w:cs="Calibri"/>
          <w:sz w:val="24"/>
          <w:szCs w:val="24"/>
        </w:rPr>
        <w:t xml:space="preserve">, dal </w:t>
      </w:r>
      <w:r w:rsidRPr="00494CCC">
        <w:rPr>
          <w:rFonts w:ascii="Calibri" w:hAnsi="Calibri" w:cs="Calibri"/>
          <w:b/>
          <w:bCs/>
          <w:sz w:val="24"/>
          <w:szCs w:val="24"/>
        </w:rPr>
        <w:t>2015</w:t>
      </w:r>
      <w:r w:rsidRPr="00494CCC">
        <w:rPr>
          <w:rFonts w:ascii="Calibri" w:hAnsi="Calibri" w:cs="Calibri"/>
          <w:sz w:val="24"/>
          <w:szCs w:val="24"/>
        </w:rPr>
        <w:t xml:space="preserve"> al </w:t>
      </w:r>
      <w:r w:rsidRPr="00494CCC">
        <w:rPr>
          <w:rFonts w:ascii="Calibri" w:hAnsi="Calibri" w:cs="Calibri"/>
          <w:b/>
          <w:bCs/>
          <w:sz w:val="24"/>
          <w:szCs w:val="24"/>
        </w:rPr>
        <w:t>2024</w:t>
      </w:r>
      <w:r w:rsidRPr="00494CCC">
        <w:rPr>
          <w:rFonts w:ascii="Calibri" w:hAnsi="Calibri" w:cs="Calibri"/>
          <w:sz w:val="24"/>
          <w:szCs w:val="24"/>
        </w:rPr>
        <w:t xml:space="preserve">, </w:t>
      </w:r>
      <w:r w:rsidR="007E50ED">
        <w:rPr>
          <w:rFonts w:ascii="Calibri" w:hAnsi="Calibri" w:cs="Calibri"/>
          <w:sz w:val="24"/>
          <w:szCs w:val="24"/>
        </w:rPr>
        <w:t>si</w:t>
      </w:r>
      <w:r w:rsidRPr="00494CCC">
        <w:rPr>
          <w:rFonts w:ascii="Calibri" w:hAnsi="Calibri" w:cs="Calibri"/>
          <w:sz w:val="24"/>
          <w:szCs w:val="24"/>
        </w:rPr>
        <w:t xml:space="preserve"> sono </w:t>
      </w:r>
      <w:r w:rsidR="007E50ED">
        <w:rPr>
          <w:rFonts w:ascii="Calibri" w:hAnsi="Calibri" w:cs="Calibri"/>
          <w:sz w:val="24"/>
          <w:szCs w:val="24"/>
        </w:rPr>
        <w:t>verificati</w:t>
      </w:r>
      <w:r w:rsidRPr="00494CCC">
        <w:rPr>
          <w:rFonts w:ascii="Calibri" w:hAnsi="Calibri" w:cs="Calibri"/>
          <w:sz w:val="24"/>
          <w:szCs w:val="24"/>
        </w:rPr>
        <w:t xml:space="preserve"> complessivamente </w:t>
      </w:r>
      <w:r w:rsidRPr="00494CCC">
        <w:rPr>
          <w:rFonts w:ascii="Calibri" w:hAnsi="Calibri" w:cs="Calibri"/>
          <w:b/>
          <w:bCs/>
          <w:sz w:val="24"/>
          <w:szCs w:val="24"/>
        </w:rPr>
        <w:t xml:space="preserve">55 decessi </w:t>
      </w:r>
      <w:r w:rsidRPr="00494CCC">
        <w:rPr>
          <w:rFonts w:ascii="Calibri" w:hAnsi="Calibri" w:cs="Calibri"/>
          <w:sz w:val="24"/>
          <w:szCs w:val="24"/>
        </w:rPr>
        <w:t xml:space="preserve">tra gli </w:t>
      </w:r>
      <w:r w:rsidRPr="00494CCC">
        <w:rPr>
          <w:rFonts w:ascii="Calibri" w:hAnsi="Calibri" w:cs="Calibri"/>
          <w:b/>
          <w:bCs/>
          <w:sz w:val="24"/>
          <w:szCs w:val="24"/>
        </w:rPr>
        <w:t>utenti vulnerabili</w:t>
      </w:r>
      <w:r w:rsidRPr="00494CCC">
        <w:rPr>
          <w:rFonts w:ascii="Calibri" w:hAnsi="Calibri" w:cs="Calibri"/>
          <w:sz w:val="24"/>
          <w:szCs w:val="24"/>
        </w:rPr>
        <w:t xml:space="preserve">, di cui 19 a piedi, 15 in bici, 21 in motociclo. Nel </w:t>
      </w:r>
      <w:r w:rsidRPr="00494CCC">
        <w:rPr>
          <w:rFonts w:ascii="Calibri" w:hAnsi="Calibri" w:cs="Calibri"/>
          <w:b/>
          <w:bCs/>
          <w:sz w:val="24"/>
          <w:szCs w:val="24"/>
        </w:rPr>
        <w:t>2015</w:t>
      </w:r>
      <w:r w:rsidRPr="00494CCC">
        <w:rPr>
          <w:rFonts w:ascii="Calibri" w:hAnsi="Calibri" w:cs="Calibri"/>
          <w:sz w:val="24"/>
          <w:szCs w:val="24"/>
        </w:rPr>
        <w:t xml:space="preserve">, i decessi sono stati in tutto </w:t>
      </w:r>
      <w:r w:rsidRPr="00494CCC">
        <w:rPr>
          <w:rFonts w:ascii="Calibri" w:hAnsi="Calibri" w:cs="Calibri"/>
          <w:b/>
          <w:bCs/>
          <w:sz w:val="24"/>
          <w:szCs w:val="24"/>
        </w:rPr>
        <w:t>7</w:t>
      </w:r>
      <w:r w:rsidRPr="00494CCC">
        <w:rPr>
          <w:rFonts w:ascii="Calibri" w:hAnsi="Calibri" w:cs="Calibri"/>
          <w:sz w:val="24"/>
          <w:szCs w:val="24"/>
        </w:rPr>
        <w:t xml:space="preserve"> (3 a piedi, 1 in bici, 3 in motociclo); nel </w:t>
      </w:r>
      <w:r w:rsidRPr="00494CCC">
        <w:rPr>
          <w:rFonts w:ascii="Calibri" w:hAnsi="Calibri" w:cs="Calibri"/>
          <w:b/>
          <w:bCs/>
          <w:sz w:val="24"/>
          <w:szCs w:val="24"/>
        </w:rPr>
        <w:t>2019</w:t>
      </w:r>
      <w:r w:rsidRPr="00494CCC">
        <w:rPr>
          <w:rFonts w:ascii="Calibri" w:hAnsi="Calibri" w:cs="Calibri"/>
          <w:sz w:val="24"/>
          <w:szCs w:val="24"/>
        </w:rPr>
        <w:t xml:space="preserve"> si sono registrati i numeri più elevati, con </w:t>
      </w:r>
      <w:r w:rsidRPr="00494CCC">
        <w:rPr>
          <w:rFonts w:ascii="Calibri" w:hAnsi="Calibri" w:cs="Calibri"/>
          <w:b/>
          <w:bCs/>
          <w:sz w:val="24"/>
          <w:szCs w:val="24"/>
        </w:rPr>
        <w:t>10 decessi</w:t>
      </w:r>
      <w:r w:rsidRPr="00494CCC">
        <w:rPr>
          <w:rFonts w:ascii="Calibri" w:hAnsi="Calibri" w:cs="Calibri"/>
          <w:sz w:val="24"/>
          <w:szCs w:val="24"/>
        </w:rPr>
        <w:t xml:space="preserve"> (5 a piedi, 3 in bici, 2 in motociclo); l'anno successivo, in periodo Covid, </w:t>
      </w:r>
      <w:r w:rsidR="00092CE3">
        <w:rPr>
          <w:rFonts w:ascii="Calibri" w:hAnsi="Calibri" w:cs="Calibri"/>
          <w:sz w:val="24"/>
          <w:szCs w:val="24"/>
        </w:rPr>
        <w:t>si è registrato</w:t>
      </w:r>
      <w:r w:rsidRPr="00494CCC">
        <w:rPr>
          <w:rFonts w:ascii="Calibri" w:hAnsi="Calibri" w:cs="Calibri"/>
          <w:sz w:val="24"/>
          <w:szCs w:val="24"/>
        </w:rPr>
        <w:t xml:space="preserve"> un dimezzamento, con 5 vittime (1 a piedi, 2 in bici, 2 in motociclo); nel </w:t>
      </w:r>
      <w:r w:rsidRPr="00494CCC">
        <w:rPr>
          <w:rFonts w:ascii="Calibri" w:hAnsi="Calibri" w:cs="Calibri"/>
          <w:b/>
          <w:bCs/>
          <w:sz w:val="24"/>
          <w:szCs w:val="24"/>
        </w:rPr>
        <w:t>2024</w:t>
      </w:r>
      <w:r w:rsidRPr="00494CCC">
        <w:rPr>
          <w:rFonts w:ascii="Calibri" w:hAnsi="Calibri" w:cs="Calibri"/>
          <w:sz w:val="24"/>
          <w:szCs w:val="24"/>
        </w:rPr>
        <w:t xml:space="preserve"> le </w:t>
      </w:r>
      <w:r w:rsidRPr="00494CCC">
        <w:rPr>
          <w:rFonts w:ascii="Calibri" w:hAnsi="Calibri" w:cs="Calibri"/>
          <w:b/>
          <w:bCs/>
          <w:sz w:val="24"/>
          <w:szCs w:val="24"/>
        </w:rPr>
        <w:t>vittime</w:t>
      </w:r>
      <w:r w:rsidRPr="00494CCC">
        <w:rPr>
          <w:rFonts w:ascii="Calibri" w:hAnsi="Calibri" w:cs="Calibri"/>
          <w:sz w:val="24"/>
          <w:szCs w:val="24"/>
        </w:rPr>
        <w:t xml:space="preserve"> sono</w:t>
      </w:r>
      <w:r w:rsidR="00092CE3">
        <w:rPr>
          <w:rFonts w:ascii="Calibri" w:hAnsi="Calibri" w:cs="Calibri"/>
          <w:sz w:val="24"/>
          <w:szCs w:val="24"/>
        </w:rPr>
        <w:t xml:space="preserve"> state</w:t>
      </w:r>
      <w:r w:rsidRPr="00494CCC">
        <w:rPr>
          <w:rFonts w:ascii="Calibri" w:hAnsi="Calibri" w:cs="Calibri"/>
          <w:sz w:val="24"/>
          <w:szCs w:val="24"/>
        </w:rPr>
        <w:t xml:space="preserve"> </w:t>
      </w:r>
      <w:r w:rsidRPr="00494CCC">
        <w:rPr>
          <w:rFonts w:ascii="Calibri" w:hAnsi="Calibri" w:cs="Calibri"/>
          <w:b/>
          <w:bCs/>
          <w:sz w:val="24"/>
          <w:szCs w:val="24"/>
        </w:rPr>
        <w:t>3</w:t>
      </w:r>
      <w:r w:rsidRPr="00494CCC">
        <w:rPr>
          <w:rFonts w:ascii="Calibri" w:hAnsi="Calibri" w:cs="Calibri"/>
          <w:sz w:val="24"/>
          <w:szCs w:val="24"/>
        </w:rPr>
        <w:t xml:space="preserve">, di cui 2 in bici e 1 in motociclo. </w:t>
      </w:r>
    </w:p>
    <w:p w14:paraId="2AB7C4AC" w14:textId="00CB7B0A" w:rsidR="00E90B91" w:rsidRPr="00E90B91" w:rsidRDefault="00E90B91" w:rsidP="0080032C">
      <w:pPr>
        <w:jc w:val="both"/>
        <w:rPr>
          <w:rFonts w:ascii="Calibri" w:hAnsi="Calibri" w:cs="Calibri"/>
          <w:sz w:val="24"/>
          <w:szCs w:val="24"/>
        </w:rPr>
      </w:pPr>
      <w:r w:rsidRPr="00494CCC">
        <w:rPr>
          <w:rFonts w:ascii="Calibri" w:hAnsi="Calibri" w:cs="Calibri"/>
          <w:sz w:val="24"/>
          <w:szCs w:val="24"/>
        </w:rPr>
        <w:t xml:space="preserve">Sempre a Rimini, dal 2015 al 2024, ci sono stati complessivamente </w:t>
      </w:r>
      <w:r w:rsidRPr="00494CCC">
        <w:rPr>
          <w:rFonts w:ascii="Calibri" w:hAnsi="Calibri" w:cs="Calibri"/>
          <w:b/>
          <w:bCs/>
          <w:sz w:val="24"/>
          <w:szCs w:val="24"/>
        </w:rPr>
        <w:t>5.791 feriti</w:t>
      </w:r>
      <w:r w:rsidRPr="00494CCC">
        <w:rPr>
          <w:rFonts w:ascii="Calibri" w:hAnsi="Calibri" w:cs="Calibri"/>
          <w:sz w:val="24"/>
          <w:szCs w:val="24"/>
        </w:rPr>
        <w:t xml:space="preserve"> tra gli utenti vulnerabili, di cui </w:t>
      </w:r>
      <w:r w:rsidRPr="00494CCC">
        <w:rPr>
          <w:rFonts w:ascii="Calibri" w:hAnsi="Calibri" w:cs="Calibri"/>
          <w:b/>
          <w:bCs/>
          <w:sz w:val="24"/>
          <w:szCs w:val="24"/>
        </w:rPr>
        <w:t>983 a piedi</w:t>
      </w:r>
      <w:r w:rsidRPr="00494CCC">
        <w:rPr>
          <w:rFonts w:ascii="Calibri" w:hAnsi="Calibri" w:cs="Calibri"/>
          <w:sz w:val="24"/>
          <w:szCs w:val="24"/>
        </w:rPr>
        <w:t xml:space="preserve">, </w:t>
      </w:r>
      <w:r w:rsidRPr="00494CCC">
        <w:rPr>
          <w:rFonts w:ascii="Calibri" w:hAnsi="Calibri" w:cs="Calibri"/>
          <w:b/>
          <w:bCs/>
          <w:sz w:val="24"/>
          <w:szCs w:val="24"/>
        </w:rPr>
        <w:t>2.067 in bici</w:t>
      </w:r>
      <w:r w:rsidRPr="00494CCC">
        <w:rPr>
          <w:rFonts w:ascii="Calibri" w:hAnsi="Calibri" w:cs="Calibri"/>
          <w:sz w:val="24"/>
          <w:szCs w:val="24"/>
        </w:rPr>
        <w:t xml:space="preserve">, </w:t>
      </w:r>
      <w:r w:rsidRPr="00494CCC">
        <w:rPr>
          <w:rFonts w:ascii="Calibri" w:hAnsi="Calibri" w:cs="Calibri"/>
          <w:b/>
          <w:bCs/>
          <w:sz w:val="24"/>
          <w:szCs w:val="24"/>
        </w:rPr>
        <w:t>2.741 in motociclo</w:t>
      </w:r>
      <w:r w:rsidRPr="00494CCC">
        <w:rPr>
          <w:rFonts w:ascii="Calibri" w:hAnsi="Calibri" w:cs="Calibri"/>
          <w:sz w:val="24"/>
          <w:szCs w:val="24"/>
        </w:rPr>
        <w:t xml:space="preserve">. Nel 2015, i feriti sono stati in tutto 578 (93 a piedi, 194 in bici, 291 in motociclo); nel 2019 si sono contati 619 feriti (87 a piedi, 233 in bici, 299 in motociclo); l'anno successivo, in periodo Covid, i feriti sono diminuiti, arrivando a quota </w:t>
      </w:r>
      <w:r w:rsidR="00CD4125" w:rsidRPr="00494CCC">
        <w:rPr>
          <w:rFonts w:ascii="Calibri" w:hAnsi="Calibri" w:cs="Calibri"/>
          <w:sz w:val="24"/>
          <w:szCs w:val="24"/>
        </w:rPr>
        <w:t>428 (</w:t>
      </w:r>
      <w:r w:rsidRPr="00494CCC">
        <w:rPr>
          <w:rFonts w:ascii="Calibri" w:hAnsi="Calibri" w:cs="Calibri"/>
          <w:sz w:val="24"/>
          <w:szCs w:val="24"/>
        </w:rPr>
        <w:t>72 a piedi, 164 in bici, 192 in motociclo). Infine, nel 2024, i feriti sono stati 582, di cui 102 a piedi, 175 in bici e 305 in motociclo.</w:t>
      </w:r>
    </w:p>
    <w:p w14:paraId="48F8B243" w14:textId="31830CD6" w:rsidR="00683A93" w:rsidRPr="00494CCC" w:rsidRDefault="000C7114" w:rsidP="0080032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94CCC">
        <w:rPr>
          <w:rFonts w:ascii="Calibri" w:hAnsi="Calibri" w:cs="Calibri"/>
          <w:b/>
          <w:bCs/>
          <w:sz w:val="24"/>
          <w:szCs w:val="24"/>
        </w:rPr>
        <w:t>Incidenti, morti, feriti, motociclisti deceduti, ciclisti deceduti e obiettivo europeo (Emilia-Romagna, 2015 - 2024)</w:t>
      </w:r>
    </w:p>
    <w:p w14:paraId="4D8EB04B" w14:textId="3661A6C4" w:rsidR="00BF16CC" w:rsidRPr="00494CCC" w:rsidRDefault="00BF16CC" w:rsidP="0080032C">
      <w:pPr>
        <w:jc w:val="both"/>
        <w:rPr>
          <w:rFonts w:ascii="Calibri" w:hAnsi="Calibri" w:cs="Calibri"/>
          <w:sz w:val="24"/>
          <w:szCs w:val="24"/>
        </w:rPr>
      </w:pPr>
      <w:r w:rsidRPr="00494CCC">
        <w:rPr>
          <w:rFonts w:ascii="Calibri" w:hAnsi="Calibri" w:cs="Calibri"/>
          <w:sz w:val="24"/>
          <w:szCs w:val="24"/>
        </w:rPr>
        <w:t xml:space="preserve">In </w:t>
      </w:r>
      <w:r w:rsidRPr="00494CCC">
        <w:rPr>
          <w:rFonts w:ascii="Calibri" w:hAnsi="Calibri" w:cs="Calibri"/>
          <w:b/>
          <w:bCs/>
          <w:sz w:val="24"/>
          <w:szCs w:val="24"/>
        </w:rPr>
        <w:t>Emilia-Romagna</w:t>
      </w:r>
      <w:r w:rsidRPr="00494CCC">
        <w:rPr>
          <w:rFonts w:ascii="Calibri" w:hAnsi="Calibri" w:cs="Calibri"/>
          <w:sz w:val="24"/>
          <w:szCs w:val="24"/>
        </w:rPr>
        <w:t xml:space="preserve"> la serie storica </w:t>
      </w:r>
      <w:r w:rsidR="00065BF4" w:rsidRPr="00494CCC">
        <w:rPr>
          <w:rFonts w:ascii="Calibri" w:hAnsi="Calibri" w:cs="Calibri"/>
          <w:sz w:val="24"/>
          <w:szCs w:val="24"/>
        </w:rPr>
        <w:t>degli incidenti n</w:t>
      </w:r>
      <w:r w:rsidRPr="00494CCC">
        <w:rPr>
          <w:rFonts w:ascii="Calibri" w:hAnsi="Calibri" w:cs="Calibri"/>
          <w:sz w:val="24"/>
          <w:szCs w:val="24"/>
        </w:rPr>
        <w:t xml:space="preserve">egli </w:t>
      </w:r>
      <w:r w:rsidRPr="00494CCC">
        <w:rPr>
          <w:rFonts w:ascii="Calibri" w:hAnsi="Calibri" w:cs="Calibri"/>
          <w:b/>
          <w:bCs/>
          <w:sz w:val="24"/>
          <w:szCs w:val="24"/>
        </w:rPr>
        <w:t>ultimi 10 anni</w:t>
      </w:r>
      <w:r w:rsidRPr="00494CCC">
        <w:rPr>
          <w:rFonts w:ascii="Calibri" w:hAnsi="Calibri" w:cs="Calibri"/>
          <w:sz w:val="24"/>
          <w:szCs w:val="24"/>
        </w:rPr>
        <w:t xml:space="preserve">, </w:t>
      </w:r>
      <w:r w:rsidR="00951646">
        <w:rPr>
          <w:rFonts w:ascii="Calibri" w:hAnsi="Calibri" w:cs="Calibri"/>
          <w:sz w:val="24"/>
          <w:szCs w:val="24"/>
        </w:rPr>
        <w:t>considerando</w:t>
      </w:r>
      <w:r w:rsidRPr="00494CCC">
        <w:rPr>
          <w:rFonts w:ascii="Calibri" w:hAnsi="Calibri" w:cs="Calibri"/>
          <w:sz w:val="24"/>
          <w:szCs w:val="24"/>
        </w:rPr>
        <w:t xml:space="preserve"> la flessione nel periodo Covid, evidenzia come nel </w:t>
      </w:r>
      <w:r w:rsidRPr="00494CCC">
        <w:rPr>
          <w:rFonts w:ascii="Calibri" w:hAnsi="Calibri" w:cs="Calibri"/>
          <w:b/>
          <w:bCs/>
          <w:sz w:val="24"/>
          <w:szCs w:val="24"/>
        </w:rPr>
        <w:t xml:space="preserve">2024 </w:t>
      </w:r>
      <w:r w:rsidRPr="00494CCC">
        <w:rPr>
          <w:rFonts w:ascii="Calibri" w:hAnsi="Calibri" w:cs="Calibri"/>
          <w:sz w:val="24"/>
          <w:szCs w:val="24"/>
        </w:rPr>
        <w:t>il valore dei decessi (</w:t>
      </w:r>
      <w:r w:rsidRPr="00494CCC">
        <w:rPr>
          <w:rFonts w:ascii="Calibri" w:hAnsi="Calibri" w:cs="Calibri"/>
          <w:b/>
          <w:bCs/>
          <w:sz w:val="24"/>
          <w:szCs w:val="24"/>
        </w:rPr>
        <w:t>273</w:t>
      </w:r>
      <w:r w:rsidRPr="00494CCC">
        <w:rPr>
          <w:rFonts w:ascii="Calibri" w:hAnsi="Calibri" w:cs="Calibri"/>
          <w:sz w:val="24"/>
          <w:szCs w:val="24"/>
        </w:rPr>
        <w:t xml:space="preserve">) sia in linea con il percorso verso il dimezzamento entro il 2030. </w:t>
      </w:r>
      <w:r w:rsidR="00065BF4" w:rsidRPr="00494CCC">
        <w:rPr>
          <w:rFonts w:ascii="Calibri" w:hAnsi="Calibri" w:cs="Calibri"/>
          <w:sz w:val="24"/>
          <w:szCs w:val="24"/>
        </w:rPr>
        <w:t>Tuttavia, il</w:t>
      </w:r>
      <w:r w:rsidRPr="00494CCC">
        <w:rPr>
          <w:rFonts w:ascii="Calibri" w:hAnsi="Calibri" w:cs="Calibri"/>
          <w:sz w:val="24"/>
          <w:szCs w:val="24"/>
        </w:rPr>
        <w:t xml:space="preserve"> numero dei </w:t>
      </w:r>
      <w:r w:rsidRPr="00494CCC">
        <w:rPr>
          <w:rFonts w:ascii="Calibri" w:hAnsi="Calibri" w:cs="Calibri"/>
          <w:b/>
          <w:bCs/>
          <w:sz w:val="24"/>
          <w:szCs w:val="24"/>
        </w:rPr>
        <w:t>motociclisti</w:t>
      </w:r>
      <w:r w:rsidRPr="00494CCC">
        <w:rPr>
          <w:rFonts w:ascii="Calibri" w:hAnsi="Calibri" w:cs="Calibri"/>
          <w:sz w:val="24"/>
          <w:szCs w:val="24"/>
        </w:rPr>
        <w:t xml:space="preserve"> deceduti non segue l’andamento dei decessi in generale: nel 2024, dopo una leggera flessione registrata </w:t>
      </w:r>
      <w:r w:rsidR="002E2D1A">
        <w:rPr>
          <w:rFonts w:ascii="Calibri" w:hAnsi="Calibri" w:cs="Calibri"/>
          <w:sz w:val="24"/>
          <w:szCs w:val="24"/>
        </w:rPr>
        <w:t>l’anno precedente</w:t>
      </w:r>
      <w:r w:rsidRPr="00494CCC">
        <w:rPr>
          <w:rFonts w:ascii="Calibri" w:hAnsi="Calibri" w:cs="Calibri"/>
          <w:sz w:val="24"/>
          <w:szCs w:val="24"/>
        </w:rPr>
        <w:t xml:space="preserve">, resta </w:t>
      </w:r>
      <w:r w:rsidR="002E2D1A">
        <w:rPr>
          <w:rFonts w:ascii="Calibri" w:hAnsi="Calibri" w:cs="Calibri"/>
          <w:sz w:val="24"/>
          <w:szCs w:val="24"/>
        </w:rPr>
        <w:t>stabile rispetto</w:t>
      </w:r>
      <w:r w:rsidRPr="00494CCC">
        <w:rPr>
          <w:rFonts w:ascii="Calibri" w:hAnsi="Calibri" w:cs="Calibri"/>
          <w:sz w:val="24"/>
          <w:szCs w:val="24"/>
        </w:rPr>
        <w:t xml:space="preserve"> a quello del 2019</w:t>
      </w:r>
      <w:r w:rsidR="00F1683F" w:rsidRPr="00494CCC">
        <w:rPr>
          <w:rFonts w:ascii="Calibri" w:hAnsi="Calibri" w:cs="Calibri"/>
          <w:sz w:val="24"/>
          <w:szCs w:val="24"/>
        </w:rPr>
        <w:t xml:space="preserve">: </w:t>
      </w:r>
      <w:r w:rsidR="00F1683F" w:rsidRPr="00494CCC">
        <w:rPr>
          <w:rFonts w:ascii="Calibri" w:hAnsi="Calibri" w:cs="Calibri"/>
          <w:b/>
          <w:bCs/>
          <w:sz w:val="24"/>
          <w:szCs w:val="24"/>
        </w:rPr>
        <w:t>69</w:t>
      </w:r>
      <w:r w:rsidR="00F1683F" w:rsidRPr="00494CCC">
        <w:rPr>
          <w:rFonts w:ascii="Calibri" w:hAnsi="Calibri" w:cs="Calibri"/>
          <w:sz w:val="24"/>
          <w:szCs w:val="24"/>
        </w:rPr>
        <w:t xml:space="preserve">. </w:t>
      </w:r>
      <w:r w:rsidRPr="00494CCC">
        <w:rPr>
          <w:rFonts w:ascii="Calibri" w:hAnsi="Calibri" w:cs="Calibri"/>
          <w:sz w:val="24"/>
          <w:szCs w:val="24"/>
        </w:rPr>
        <w:t xml:space="preserve">Il numero dei ciclisti deceduti, invece, ha già raggiunto il dimezzamento rispetto al valore registrato nel 2019, passando da </w:t>
      </w:r>
      <w:r w:rsidRPr="00494CCC">
        <w:rPr>
          <w:rFonts w:ascii="Calibri" w:hAnsi="Calibri" w:cs="Calibri"/>
          <w:b/>
          <w:bCs/>
          <w:sz w:val="24"/>
          <w:szCs w:val="24"/>
        </w:rPr>
        <w:t>60</w:t>
      </w:r>
      <w:r w:rsidRPr="00494CCC">
        <w:rPr>
          <w:rFonts w:ascii="Calibri" w:hAnsi="Calibri" w:cs="Calibri"/>
          <w:sz w:val="24"/>
          <w:szCs w:val="24"/>
        </w:rPr>
        <w:t xml:space="preserve"> a </w:t>
      </w:r>
      <w:r w:rsidRPr="00494CCC">
        <w:rPr>
          <w:rFonts w:ascii="Calibri" w:hAnsi="Calibri" w:cs="Calibri"/>
          <w:b/>
          <w:bCs/>
          <w:sz w:val="24"/>
          <w:szCs w:val="24"/>
        </w:rPr>
        <w:t>30</w:t>
      </w:r>
      <w:r w:rsidR="00F1683F" w:rsidRPr="00494CCC">
        <w:rPr>
          <w:rFonts w:ascii="Calibri" w:hAnsi="Calibri" w:cs="Calibri"/>
          <w:sz w:val="24"/>
          <w:szCs w:val="24"/>
        </w:rPr>
        <w:t>.</w:t>
      </w:r>
    </w:p>
    <w:p w14:paraId="5B23D0F4" w14:textId="022F91E1" w:rsidR="008276E1" w:rsidRPr="00494CCC" w:rsidRDefault="008276E1" w:rsidP="0080032C">
      <w:pPr>
        <w:jc w:val="both"/>
        <w:rPr>
          <w:rFonts w:ascii="Calibri" w:hAnsi="Calibri" w:cs="Calibri"/>
          <w:sz w:val="24"/>
          <w:szCs w:val="24"/>
        </w:rPr>
      </w:pPr>
      <w:r w:rsidRPr="00494CCC">
        <w:rPr>
          <w:rFonts w:ascii="Calibri" w:hAnsi="Calibri" w:cs="Calibri"/>
          <w:sz w:val="24"/>
          <w:szCs w:val="24"/>
        </w:rPr>
        <w:t xml:space="preserve">Il peso percentuale degli incidenti </w:t>
      </w:r>
      <w:proofErr w:type="spellStart"/>
      <w:r w:rsidRPr="00494CCC">
        <w:rPr>
          <w:rFonts w:ascii="Calibri" w:hAnsi="Calibri" w:cs="Calibri"/>
          <w:sz w:val="24"/>
          <w:szCs w:val="24"/>
        </w:rPr>
        <w:t>ciclocorrelati</w:t>
      </w:r>
      <w:proofErr w:type="spellEnd"/>
      <w:r w:rsidRPr="00494CCC">
        <w:rPr>
          <w:rFonts w:ascii="Calibri" w:hAnsi="Calibri" w:cs="Calibri"/>
          <w:sz w:val="24"/>
          <w:szCs w:val="24"/>
        </w:rPr>
        <w:t xml:space="preserve"> si attesta</w:t>
      </w:r>
      <w:r w:rsidR="003E0B3E">
        <w:rPr>
          <w:rFonts w:ascii="Calibri" w:hAnsi="Calibri" w:cs="Calibri"/>
          <w:sz w:val="24"/>
          <w:szCs w:val="24"/>
        </w:rPr>
        <w:t>,</w:t>
      </w:r>
      <w:r w:rsidRPr="00494CCC">
        <w:rPr>
          <w:rFonts w:ascii="Calibri" w:hAnsi="Calibri" w:cs="Calibri"/>
          <w:sz w:val="24"/>
          <w:szCs w:val="24"/>
        </w:rPr>
        <w:t xml:space="preserve"> per l’intero decennio</w:t>
      </w:r>
      <w:r w:rsidR="003E0B3E">
        <w:rPr>
          <w:rFonts w:ascii="Calibri" w:hAnsi="Calibri" w:cs="Calibri"/>
          <w:sz w:val="24"/>
          <w:szCs w:val="24"/>
        </w:rPr>
        <w:t>,</w:t>
      </w:r>
      <w:r w:rsidRPr="00494CCC">
        <w:rPr>
          <w:rFonts w:ascii="Calibri" w:hAnsi="Calibri" w:cs="Calibri"/>
          <w:sz w:val="24"/>
          <w:szCs w:val="24"/>
        </w:rPr>
        <w:t xml:space="preserve"> su valori sempre superiori al </w:t>
      </w:r>
      <w:r w:rsidRPr="00494CCC">
        <w:rPr>
          <w:rFonts w:ascii="Calibri" w:hAnsi="Calibri" w:cs="Calibri"/>
          <w:b/>
          <w:bCs/>
          <w:sz w:val="24"/>
          <w:szCs w:val="24"/>
        </w:rPr>
        <w:t>18%</w:t>
      </w:r>
      <w:r w:rsidRPr="00494CCC">
        <w:rPr>
          <w:rFonts w:ascii="Calibri" w:hAnsi="Calibri" w:cs="Calibri"/>
          <w:sz w:val="24"/>
          <w:szCs w:val="24"/>
        </w:rPr>
        <w:t xml:space="preserve"> del totale; il numero di ciclisti deceduti registrato nel 2019</w:t>
      </w:r>
      <w:r w:rsidR="00FC30CE" w:rsidRPr="00494CCC">
        <w:rPr>
          <w:rFonts w:ascii="Calibri" w:hAnsi="Calibri" w:cs="Calibri"/>
          <w:sz w:val="24"/>
          <w:szCs w:val="24"/>
        </w:rPr>
        <w:t xml:space="preserve"> (60)</w:t>
      </w:r>
      <w:r w:rsidRPr="00494CCC">
        <w:rPr>
          <w:rFonts w:ascii="Calibri" w:hAnsi="Calibri" w:cs="Calibri"/>
          <w:sz w:val="24"/>
          <w:szCs w:val="24"/>
        </w:rPr>
        <w:t xml:space="preserve"> è stato il </w:t>
      </w:r>
      <w:r w:rsidRPr="00494CCC">
        <w:rPr>
          <w:rFonts w:ascii="Calibri" w:hAnsi="Calibri" w:cs="Calibri"/>
          <w:b/>
          <w:bCs/>
          <w:sz w:val="24"/>
          <w:szCs w:val="24"/>
        </w:rPr>
        <w:t>più elevato</w:t>
      </w:r>
      <w:r w:rsidRPr="00494CCC">
        <w:rPr>
          <w:rFonts w:ascii="Calibri" w:hAnsi="Calibri" w:cs="Calibri"/>
          <w:sz w:val="24"/>
          <w:szCs w:val="24"/>
        </w:rPr>
        <w:t xml:space="preserve"> del periodo osservato</w:t>
      </w:r>
      <w:r w:rsidR="007913FE" w:rsidRPr="00494CCC">
        <w:rPr>
          <w:rFonts w:ascii="Calibri" w:hAnsi="Calibri" w:cs="Calibri"/>
          <w:sz w:val="24"/>
          <w:szCs w:val="24"/>
        </w:rPr>
        <w:t>,</w:t>
      </w:r>
      <w:r w:rsidRPr="00494CCC">
        <w:rPr>
          <w:rFonts w:ascii="Calibri" w:hAnsi="Calibri" w:cs="Calibri"/>
          <w:sz w:val="24"/>
          <w:szCs w:val="24"/>
        </w:rPr>
        <w:t xml:space="preserve"> pari al 17% del totale dei decessi. Il peso percentuale dei ciclisti deceduti nel 2024, dimezzati rispetto al 2019, scende all’11% del totale. Il numero dei ciclisti feriti è in linea con il numero di incidenti </w:t>
      </w:r>
      <w:proofErr w:type="spellStart"/>
      <w:r w:rsidRPr="00494CCC">
        <w:rPr>
          <w:rFonts w:ascii="Calibri" w:hAnsi="Calibri" w:cs="Calibri"/>
          <w:sz w:val="24"/>
          <w:szCs w:val="24"/>
        </w:rPr>
        <w:t>ciclocorrelati</w:t>
      </w:r>
      <w:proofErr w:type="spellEnd"/>
      <w:r w:rsidRPr="00494CCC">
        <w:rPr>
          <w:rFonts w:ascii="Calibri" w:hAnsi="Calibri" w:cs="Calibri"/>
          <w:sz w:val="24"/>
          <w:szCs w:val="24"/>
        </w:rPr>
        <w:t>: sono rari, infatti, sia i casi di conducenti ciclisti illesi, sia i casi di trasportati su bicicletta</w:t>
      </w:r>
      <w:r w:rsidR="003E0B3E">
        <w:rPr>
          <w:rFonts w:ascii="Calibri" w:hAnsi="Calibri" w:cs="Calibri"/>
          <w:sz w:val="24"/>
          <w:szCs w:val="24"/>
        </w:rPr>
        <w:t>.</w:t>
      </w:r>
      <w:r w:rsidRPr="00494CCC">
        <w:rPr>
          <w:rFonts w:ascii="Calibri" w:hAnsi="Calibri" w:cs="Calibri"/>
          <w:sz w:val="24"/>
          <w:szCs w:val="24"/>
        </w:rPr>
        <w:t xml:space="preserve"> </w:t>
      </w:r>
      <w:r w:rsidR="003E0B3E">
        <w:rPr>
          <w:rFonts w:ascii="Calibri" w:hAnsi="Calibri" w:cs="Calibri"/>
          <w:sz w:val="24"/>
          <w:szCs w:val="24"/>
        </w:rPr>
        <w:t>Il</w:t>
      </w:r>
      <w:r w:rsidRPr="00494CCC">
        <w:rPr>
          <w:rFonts w:ascii="Calibri" w:hAnsi="Calibri" w:cs="Calibri"/>
          <w:sz w:val="24"/>
          <w:szCs w:val="24"/>
        </w:rPr>
        <w:t xml:space="preserve"> peso percentuale dei ciclisti feriti sul totale dei feriti in incidente stradale oscilla tra il 13,1% del 2018 e il 15% del 2021 (periodo </w:t>
      </w:r>
      <w:r w:rsidR="00FC30CE" w:rsidRPr="00494CCC">
        <w:rPr>
          <w:rFonts w:ascii="Calibri" w:hAnsi="Calibri" w:cs="Calibri"/>
          <w:sz w:val="24"/>
          <w:szCs w:val="24"/>
        </w:rPr>
        <w:t>C</w:t>
      </w:r>
      <w:r w:rsidRPr="00494CCC">
        <w:rPr>
          <w:rFonts w:ascii="Calibri" w:hAnsi="Calibri" w:cs="Calibri"/>
          <w:sz w:val="24"/>
          <w:szCs w:val="24"/>
        </w:rPr>
        <w:t>ovid).</w:t>
      </w:r>
    </w:p>
    <w:p w14:paraId="2FE2439F" w14:textId="54BB04C7" w:rsidR="0055507A" w:rsidRPr="00494CCC" w:rsidRDefault="00B45AD7" w:rsidP="0080032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percentuale</w:t>
      </w:r>
      <w:r w:rsidR="0055507A" w:rsidRPr="00494CCC">
        <w:rPr>
          <w:rFonts w:ascii="Calibri" w:hAnsi="Calibri" w:cs="Calibri"/>
          <w:sz w:val="24"/>
          <w:szCs w:val="24"/>
        </w:rPr>
        <w:t xml:space="preserve"> degli incidenti </w:t>
      </w:r>
      <w:proofErr w:type="spellStart"/>
      <w:r w:rsidR="0055507A" w:rsidRPr="00494CCC">
        <w:rPr>
          <w:rFonts w:ascii="Calibri" w:hAnsi="Calibri" w:cs="Calibri"/>
          <w:sz w:val="24"/>
          <w:szCs w:val="24"/>
        </w:rPr>
        <w:t>motocorrelati</w:t>
      </w:r>
      <w:proofErr w:type="spellEnd"/>
      <w:r w:rsidR="0055507A" w:rsidRPr="00494CCC">
        <w:rPr>
          <w:rFonts w:ascii="Calibri" w:hAnsi="Calibri" w:cs="Calibri"/>
          <w:sz w:val="24"/>
          <w:szCs w:val="24"/>
        </w:rPr>
        <w:t xml:space="preserve"> sul totale degli incidenti passa dal </w:t>
      </w:r>
      <w:r w:rsidR="0055507A" w:rsidRPr="00494CCC">
        <w:rPr>
          <w:rFonts w:ascii="Calibri" w:hAnsi="Calibri" w:cs="Calibri"/>
          <w:b/>
          <w:bCs/>
          <w:sz w:val="24"/>
          <w:szCs w:val="24"/>
        </w:rPr>
        <w:t>16%</w:t>
      </w:r>
      <w:r w:rsidR="0055507A" w:rsidRPr="00494CCC">
        <w:rPr>
          <w:rFonts w:ascii="Calibri" w:hAnsi="Calibri" w:cs="Calibri"/>
          <w:sz w:val="24"/>
          <w:szCs w:val="24"/>
        </w:rPr>
        <w:t xml:space="preserve"> del 2015 al </w:t>
      </w:r>
      <w:r w:rsidR="0055507A" w:rsidRPr="00494CCC">
        <w:rPr>
          <w:rFonts w:ascii="Calibri" w:hAnsi="Calibri" w:cs="Calibri"/>
          <w:b/>
          <w:bCs/>
          <w:sz w:val="24"/>
          <w:szCs w:val="24"/>
        </w:rPr>
        <w:t>19%</w:t>
      </w:r>
      <w:r w:rsidR="0055507A" w:rsidRPr="00494CCC">
        <w:rPr>
          <w:rFonts w:ascii="Calibri" w:hAnsi="Calibri" w:cs="Calibri"/>
          <w:sz w:val="24"/>
          <w:szCs w:val="24"/>
        </w:rPr>
        <w:t xml:space="preserve"> del 2024; lo stesso andamento si registra nei feriti a bordo di motociclo, il cui peso sul totale, passa dal 12% del 2015 al 15,2% del 2024. </w:t>
      </w:r>
    </w:p>
    <w:p w14:paraId="1649001C" w14:textId="03C77322" w:rsidR="0055507A" w:rsidRPr="00494CCC" w:rsidRDefault="0055507A" w:rsidP="0080032C">
      <w:pPr>
        <w:jc w:val="both"/>
        <w:rPr>
          <w:rFonts w:ascii="Calibri" w:hAnsi="Calibri" w:cs="Calibri"/>
          <w:sz w:val="24"/>
          <w:szCs w:val="24"/>
        </w:rPr>
      </w:pPr>
      <w:r w:rsidRPr="00494CCC">
        <w:rPr>
          <w:rFonts w:ascii="Calibri" w:hAnsi="Calibri" w:cs="Calibri"/>
          <w:sz w:val="24"/>
          <w:szCs w:val="24"/>
        </w:rPr>
        <w:t>Sebbene il peso in termini percentuali di incidenti e feriti a bordo di moto</w:t>
      </w:r>
      <w:r w:rsidR="00D75744" w:rsidRPr="00494CCC">
        <w:rPr>
          <w:rFonts w:ascii="Calibri" w:hAnsi="Calibri" w:cs="Calibri"/>
          <w:sz w:val="24"/>
          <w:szCs w:val="24"/>
        </w:rPr>
        <w:t xml:space="preserve"> </w:t>
      </w:r>
      <w:r w:rsidRPr="00494CCC">
        <w:rPr>
          <w:rFonts w:ascii="Calibri" w:hAnsi="Calibri" w:cs="Calibri"/>
          <w:sz w:val="24"/>
          <w:szCs w:val="24"/>
        </w:rPr>
        <w:t xml:space="preserve">sia inferiore a quello osservato per i ciclisti, il </w:t>
      </w:r>
      <w:r w:rsidR="00763C51">
        <w:rPr>
          <w:rFonts w:ascii="Calibri" w:hAnsi="Calibri" w:cs="Calibri"/>
          <w:sz w:val="24"/>
          <w:szCs w:val="24"/>
        </w:rPr>
        <w:t>numero</w:t>
      </w:r>
      <w:r w:rsidRPr="00494CCC">
        <w:rPr>
          <w:rFonts w:ascii="Calibri" w:hAnsi="Calibri" w:cs="Calibri"/>
          <w:sz w:val="24"/>
          <w:szCs w:val="24"/>
        </w:rPr>
        <w:t xml:space="preserve"> dei motociclisti deceduti sul totale dei deceduti in incidente stradale è sempre superiore a quello dei ciclisti, con valori che si mantengono mediamente attorno al </w:t>
      </w:r>
      <w:r w:rsidRPr="00763C51">
        <w:rPr>
          <w:rFonts w:ascii="Calibri" w:hAnsi="Calibri" w:cs="Calibri"/>
          <w:b/>
          <w:bCs/>
          <w:sz w:val="24"/>
          <w:szCs w:val="24"/>
        </w:rPr>
        <w:t>20%</w:t>
      </w:r>
      <w:r w:rsidRPr="00494CCC">
        <w:rPr>
          <w:rFonts w:ascii="Calibri" w:hAnsi="Calibri" w:cs="Calibri"/>
          <w:sz w:val="24"/>
          <w:szCs w:val="24"/>
        </w:rPr>
        <w:t xml:space="preserve"> e con un massimo, raggiunto nel 2024, di oltre il </w:t>
      </w:r>
      <w:r w:rsidRPr="00763C51">
        <w:rPr>
          <w:rFonts w:ascii="Calibri" w:hAnsi="Calibri" w:cs="Calibri"/>
          <w:b/>
          <w:bCs/>
          <w:sz w:val="24"/>
          <w:szCs w:val="24"/>
        </w:rPr>
        <w:t>25%</w:t>
      </w:r>
      <w:r w:rsidRPr="00494CCC">
        <w:rPr>
          <w:rFonts w:ascii="Calibri" w:hAnsi="Calibri" w:cs="Calibri"/>
          <w:sz w:val="24"/>
          <w:szCs w:val="24"/>
        </w:rPr>
        <w:t xml:space="preserve"> (un morto su quattro in incidente stradale viaggiava a bordo di motociclo).</w:t>
      </w:r>
      <w:r w:rsidR="00466E75" w:rsidRPr="00494CCC">
        <w:rPr>
          <w:rFonts w:ascii="Calibri" w:hAnsi="Calibri" w:cs="Calibri"/>
          <w:sz w:val="24"/>
          <w:szCs w:val="24"/>
        </w:rPr>
        <w:t xml:space="preserve"> </w:t>
      </w:r>
    </w:p>
    <w:p w14:paraId="3398E6EC" w14:textId="04D3BBD8" w:rsidR="00AF3277" w:rsidRPr="00494CCC" w:rsidRDefault="00763C51" w:rsidP="0080032C">
      <w:pPr>
        <w:spacing w:after="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167D90" w:rsidRPr="00494CCC">
        <w:rPr>
          <w:rFonts w:ascii="Calibri" w:hAnsi="Calibri" w:cs="Calibri"/>
          <w:sz w:val="24"/>
          <w:szCs w:val="24"/>
        </w:rPr>
        <w:t>ostante il calo dei soggetti deceduti o feriti a bordo di ciclomotore, probabilmente anche a causa della minor diffusione e utilizzo del tipo di mezzo</w:t>
      </w:r>
      <w:r w:rsidR="006D1F6B" w:rsidRPr="00494CCC">
        <w:rPr>
          <w:rFonts w:ascii="Calibri" w:hAnsi="Calibri" w:cs="Calibri"/>
          <w:sz w:val="24"/>
          <w:szCs w:val="24"/>
        </w:rPr>
        <w:t xml:space="preserve">. </w:t>
      </w:r>
      <w:r w:rsidR="00167D90" w:rsidRPr="00494CCC">
        <w:rPr>
          <w:rFonts w:ascii="Calibri" w:hAnsi="Calibri" w:cs="Calibri"/>
          <w:sz w:val="24"/>
          <w:szCs w:val="24"/>
        </w:rPr>
        <w:t xml:space="preserve">Il numero di pedoni vittime di incidente presenta un andamento simile a quello dei ciclisti, pur mantenendosi quasi ogni anno su livelli leggermente </w:t>
      </w:r>
      <w:r w:rsidR="00167D90" w:rsidRPr="00494CCC">
        <w:rPr>
          <w:rFonts w:ascii="Calibri" w:hAnsi="Calibri" w:cs="Calibri"/>
          <w:sz w:val="24"/>
          <w:szCs w:val="24"/>
        </w:rPr>
        <w:lastRenderedPageBreak/>
        <w:t>più elevati</w:t>
      </w:r>
      <w:r w:rsidR="00861F1F" w:rsidRPr="00494CCC">
        <w:rPr>
          <w:rFonts w:ascii="Calibri" w:hAnsi="Calibri" w:cs="Calibri"/>
          <w:sz w:val="24"/>
          <w:szCs w:val="24"/>
        </w:rPr>
        <w:t xml:space="preserve">. </w:t>
      </w:r>
      <w:r w:rsidR="00167D90" w:rsidRPr="00494CCC">
        <w:rPr>
          <w:rFonts w:ascii="Calibri" w:hAnsi="Calibri" w:cs="Calibri"/>
          <w:sz w:val="24"/>
          <w:szCs w:val="24"/>
        </w:rPr>
        <w:t>Al contrario, il numero di pedoni feriti è decisamente inferiore a quello dei ciclisti feriti che registra, invece, valori simili (e fino al 2021 leggermente superiori) a quello dei motociclisti feriti.</w:t>
      </w:r>
      <w:r w:rsidR="00861F1F" w:rsidRPr="00494CCC">
        <w:rPr>
          <w:rFonts w:ascii="Calibri" w:hAnsi="Calibri" w:cs="Calibri"/>
          <w:sz w:val="24"/>
          <w:szCs w:val="24"/>
        </w:rPr>
        <w:t xml:space="preserve"> </w:t>
      </w:r>
      <w:r w:rsidR="00167D90" w:rsidRPr="00494CCC">
        <w:rPr>
          <w:rFonts w:ascii="Calibri" w:hAnsi="Calibri" w:cs="Calibri"/>
          <w:sz w:val="24"/>
          <w:szCs w:val="24"/>
        </w:rPr>
        <w:t>Il numero di motociclisti deceduti mantiene valori più elevati rispetto gli altri utenti deboli</w:t>
      </w:r>
      <w:r w:rsidR="00AF3277" w:rsidRPr="00494CCC">
        <w:rPr>
          <w:rFonts w:ascii="Calibri" w:hAnsi="Calibri" w:cs="Calibri"/>
          <w:sz w:val="24"/>
          <w:szCs w:val="24"/>
        </w:rPr>
        <w:t xml:space="preserve">. Il </w:t>
      </w:r>
      <w:r w:rsidR="00AF3277" w:rsidRPr="004722ED">
        <w:rPr>
          <w:rFonts w:ascii="Calibri" w:hAnsi="Calibri" w:cs="Calibri"/>
          <w:b/>
          <w:bCs/>
          <w:sz w:val="24"/>
          <w:szCs w:val="24"/>
        </w:rPr>
        <w:t>63%</w:t>
      </w:r>
      <w:r w:rsidR="00AF3277" w:rsidRPr="00494CCC">
        <w:rPr>
          <w:rFonts w:ascii="Calibri" w:hAnsi="Calibri" w:cs="Calibri"/>
          <w:sz w:val="24"/>
          <w:szCs w:val="24"/>
        </w:rPr>
        <w:t xml:space="preserve"> dei ciclisti deceduti ha </w:t>
      </w:r>
      <w:r w:rsidR="00AF3277" w:rsidRPr="004722ED">
        <w:rPr>
          <w:rFonts w:ascii="Calibri" w:hAnsi="Calibri" w:cs="Calibri"/>
          <w:b/>
          <w:bCs/>
          <w:sz w:val="24"/>
          <w:szCs w:val="24"/>
        </w:rPr>
        <w:t>60 anni o più</w:t>
      </w:r>
      <w:r w:rsidR="00AF3277" w:rsidRPr="00494CCC">
        <w:rPr>
          <w:rFonts w:ascii="Calibri" w:hAnsi="Calibri" w:cs="Calibri"/>
          <w:sz w:val="24"/>
          <w:szCs w:val="24"/>
        </w:rPr>
        <w:t xml:space="preserve">; questa percentuale sale al </w:t>
      </w:r>
      <w:r w:rsidR="00AF3277" w:rsidRPr="004722ED">
        <w:rPr>
          <w:rFonts w:ascii="Calibri" w:hAnsi="Calibri" w:cs="Calibri"/>
          <w:b/>
          <w:bCs/>
          <w:sz w:val="24"/>
          <w:szCs w:val="24"/>
        </w:rPr>
        <w:t>72% per i pedoni</w:t>
      </w:r>
      <w:r w:rsidR="00AF3277" w:rsidRPr="00494CCC">
        <w:rPr>
          <w:rFonts w:ascii="Calibri" w:hAnsi="Calibri" w:cs="Calibri"/>
          <w:sz w:val="24"/>
          <w:szCs w:val="24"/>
        </w:rPr>
        <w:t xml:space="preserve"> (per i quali la sola classe 75 anni e oltre rappresenta il 55%)</w:t>
      </w:r>
      <w:r w:rsidR="00861F1F" w:rsidRPr="00494CCC">
        <w:rPr>
          <w:rFonts w:ascii="Calibri" w:hAnsi="Calibri" w:cs="Calibri"/>
          <w:sz w:val="24"/>
          <w:szCs w:val="24"/>
        </w:rPr>
        <w:t xml:space="preserve">. </w:t>
      </w:r>
      <w:r w:rsidR="00AF3277" w:rsidRPr="00494CCC">
        <w:rPr>
          <w:rFonts w:ascii="Calibri" w:hAnsi="Calibri" w:cs="Calibri"/>
          <w:sz w:val="24"/>
          <w:szCs w:val="24"/>
        </w:rPr>
        <w:t>I conducenti di motociclo deceduti sono per un terzo di età compresa tra i 18 e i 34 anni e per un terzo tra i 50 e i 64 anni di età.</w:t>
      </w:r>
    </w:p>
    <w:p w14:paraId="06FE314B" w14:textId="77777777" w:rsidR="00861F1F" w:rsidRPr="00494CCC" w:rsidRDefault="00861F1F" w:rsidP="0080032C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E91E0FC" w14:textId="2754CF82" w:rsidR="007F56EE" w:rsidRPr="00494CCC" w:rsidRDefault="006E0D88" w:rsidP="0080032C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494CCC">
        <w:rPr>
          <w:rFonts w:ascii="Calibri" w:hAnsi="Calibri" w:cs="Calibri"/>
          <w:sz w:val="24"/>
          <w:szCs w:val="24"/>
        </w:rPr>
        <w:t>Poco meno del 90% degli incidenti e dei feriti che hanno visto il coinvolgimento di un ciclista avvengono in ambito urbano; i decessi nelle strade urbane si attestano al 67%</w:t>
      </w:r>
      <w:r w:rsidR="009E0CEA" w:rsidRPr="00494CCC">
        <w:rPr>
          <w:rFonts w:ascii="Calibri" w:hAnsi="Calibri" w:cs="Calibri"/>
          <w:sz w:val="24"/>
          <w:szCs w:val="24"/>
        </w:rPr>
        <w:t xml:space="preserve">. </w:t>
      </w:r>
      <w:r w:rsidRPr="00494CCC">
        <w:rPr>
          <w:rFonts w:ascii="Calibri" w:hAnsi="Calibri" w:cs="Calibri"/>
          <w:sz w:val="24"/>
          <w:szCs w:val="24"/>
        </w:rPr>
        <w:t>L’82% degli incidenti e dei feriti che hanno visto il coinvolgimento di un ciclista si verificano in seguito a scontri tra veicoli in marcia; solo il 2% degli incidenti e il 3% dei feriti sono frutto di un investimento di pedoni</w:t>
      </w:r>
      <w:r w:rsidR="004722ED">
        <w:rPr>
          <w:rFonts w:ascii="Calibri" w:hAnsi="Calibri" w:cs="Calibri"/>
          <w:sz w:val="24"/>
          <w:szCs w:val="24"/>
        </w:rPr>
        <w:t>.</w:t>
      </w:r>
      <w:r w:rsidR="005B0B3F" w:rsidRPr="00494CCC">
        <w:rPr>
          <w:rFonts w:ascii="Calibri" w:hAnsi="Calibri" w:cs="Calibri"/>
          <w:sz w:val="24"/>
          <w:szCs w:val="24"/>
        </w:rPr>
        <w:t xml:space="preserve"> </w:t>
      </w:r>
      <w:r w:rsidRPr="00494CCC">
        <w:rPr>
          <w:rFonts w:ascii="Calibri" w:hAnsi="Calibri" w:cs="Calibri"/>
          <w:sz w:val="24"/>
          <w:szCs w:val="24"/>
        </w:rPr>
        <w:t>L’81% dei decessi si verifica in seguito a scontri tra veicoli in marcia; il restante 19% avviene a seguito di incidenti senza alcun urto, ovvero fuoriuscite o cadute da veicolo (a fronte di un 8% di incidenti e feriti per questa stessa natura).</w:t>
      </w:r>
      <w:r w:rsidR="005B0B3F" w:rsidRPr="00494CCC">
        <w:rPr>
          <w:rFonts w:ascii="Calibri" w:hAnsi="Calibri" w:cs="Calibri"/>
          <w:sz w:val="24"/>
          <w:szCs w:val="24"/>
        </w:rPr>
        <w:t xml:space="preserve"> </w:t>
      </w:r>
      <w:r w:rsidR="007F56EE" w:rsidRPr="00494CCC">
        <w:rPr>
          <w:rFonts w:ascii="Calibri" w:hAnsi="Calibri" w:cs="Calibri"/>
          <w:sz w:val="24"/>
          <w:szCs w:val="24"/>
        </w:rPr>
        <w:t xml:space="preserve">Il 75% degli incidenti e dei feriti che hanno visto il coinvolgimento di un motociclo avvengono in ambito urbano; il 53% dei decessi, invece, avviene in ambito extra urbano. </w:t>
      </w:r>
    </w:p>
    <w:p w14:paraId="2D70EB1B" w14:textId="77777777" w:rsidR="007F56EE" w:rsidRPr="00494CCC" w:rsidRDefault="007F56EE" w:rsidP="0080032C">
      <w:pPr>
        <w:jc w:val="both"/>
        <w:rPr>
          <w:rFonts w:ascii="Calibri" w:hAnsi="Calibri" w:cs="Calibri"/>
          <w:sz w:val="24"/>
          <w:szCs w:val="24"/>
        </w:rPr>
      </w:pPr>
      <w:r w:rsidRPr="00494CCC">
        <w:rPr>
          <w:rFonts w:ascii="Calibri" w:hAnsi="Calibri" w:cs="Calibri"/>
          <w:sz w:val="24"/>
          <w:szCs w:val="24"/>
        </w:rPr>
        <w:br w:type="page"/>
      </w:r>
    </w:p>
    <w:p w14:paraId="1F24D2AF" w14:textId="77777777" w:rsidR="00AF3277" w:rsidRPr="00494CCC" w:rsidRDefault="00AF3277" w:rsidP="0080032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94CCC">
        <w:rPr>
          <w:rFonts w:ascii="Calibri" w:hAnsi="Calibri" w:cs="Calibri"/>
          <w:b/>
          <w:bCs/>
          <w:sz w:val="24"/>
          <w:szCs w:val="24"/>
        </w:rPr>
        <w:lastRenderedPageBreak/>
        <w:br w:type="page"/>
      </w:r>
    </w:p>
    <w:p w14:paraId="7CF44080" w14:textId="62B3529F" w:rsidR="00167D90" w:rsidRPr="00494CCC" w:rsidRDefault="00167D90" w:rsidP="0080032C">
      <w:pPr>
        <w:spacing w:after="120"/>
        <w:contextualSpacing/>
        <w:jc w:val="both"/>
        <w:rPr>
          <w:rFonts w:ascii="Calibri" w:hAnsi="Calibri" w:cs="Calibri"/>
          <w:sz w:val="24"/>
          <w:szCs w:val="24"/>
        </w:rPr>
      </w:pPr>
    </w:p>
    <w:p w14:paraId="1F9FBF69" w14:textId="77777777" w:rsidR="00167D90" w:rsidRPr="00494CCC" w:rsidRDefault="00167D90" w:rsidP="0080032C">
      <w:pPr>
        <w:jc w:val="both"/>
        <w:rPr>
          <w:rFonts w:ascii="Calibri" w:hAnsi="Calibri" w:cs="Calibri"/>
          <w:sz w:val="24"/>
          <w:szCs w:val="24"/>
        </w:rPr>
      </w:pPr>
    </w:p>
    <w:p w14:paraId="720B2047" w14:textId="77777777" w:rsidR="0055507A" w:rsidRPr="00494CCC" w:rsidRDefault="0055507A" w:rsidP="0080032C">
      <w:pPr>
        <w:jc w:val="both"/>
        <w:rPr>
          <w:rFonts w:ascii="Calibri" w:hAnsi="Calibri" w:cs="Calibri"/>
          <w:sz w:val="24"/>
          <w:szCs w:val="24"/>
        </w:rPr>
      </w:pPr>
    </w:p>
    <w:p w14:paraId="4D449563" w14:textId="77777777" w:rsidR="008276E1" w:rsidRPr="00494CCC" w:rsidRDefault="008276E1" w:rsidP="0080032C">
      <w:pPr>
        <w:jc w:val="both"/>
        <w:rPr>
          <w:rFonts w:ascii="Calibri" w:hAnsi="Calibri" w:cs="Calibri"/>
          <w:sz w:val="24"/>
          <w:szCs w:val="24"/>
        </w:rPr>
      </w:pPr>
    </w:p>
    <w:p w14:paraId="3EEC1983" w14:textId="77777777" w:rsidR="00BF16CC" w:rsidRPr="00494CCC" w:rsidRDefault="00BF16CC" w:rsidP="0080032C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30E76F9" w14:textId="77777777" w:rsidR="000C7114" w:rsidRPr="00494CCC" w:rsidRDefault="000C7114" w:rsidP="0080032C">
      <w:pPr>
        <w:jc w:val="both"/>
        <w:rPr>
          <w:rFonts w:ascii="Calibri" w:hAnsi="Calibri" w:cs="Calibri"/>
          <w:sz w:val="24"/>
          <w:szCs w:val="24"/>
        </w:rPr>
      </w:pPr>
    </w:p>
    <w:p w14:paraId="3579A03B" w14:textId="510F544D" w:rsidR="00C469D7" w:rsidRPr="00494CCC" w:rsidRDefault="00C469D7" w:rsidP="0080032C">
      <w:pPr>
        <w:jc w:val="both"/>
        <w:rPr>
          <w:rFonts w:ascii="Calibri" w:hAnsi="Calibri" w:cs="Calibri"/>
          <w:i/>
          <w:iCs/>
          <w:sz w:val="24"/>
          <w:szCs w:val="24"/>
        </w:rPr>
      </w:pPr>
      <w:r w:rsidRPr="00494CCC">
        <w:rPr>
          <w:rFonts w:ascii="Calibri" w:hAnsi="Calibri" w:cs="Calibri"/>
          <w:i/>
          <w:iCs/>
          <w:sz w:val="24"/>
          <w:szCs w:val="24"/>
        </w:rPr>
        <w:t>Chiara Vergano</w:t>
      </w:r>
    </w:p>
    <w:p w14:paraId="319F4B25" w14:textId="77777777" w:rsidR="00683A93" w:rsidRPr="00494CCC" w:rsidRDefault="00683A93" w:rsidP="0080032C">
      <w:pPr>
        <w:jc w:val="both"/>
        <w:rPr>
          <w:rFonts w:ascii="Calibri" w:hAnsi="Calibri" w:cs="Calibri"/>
          <w:sz w:val="24"/>
          <w:szCs w:val="24"/>
        </w:rPr>
      </w:pPr>
    </w:p>
    <w:sectPr w:rsidR="00683A93" w:rsidRPr="00494C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70"/>
    <w:rsid w:val="00013EC1"/>
    <w:rsid w:val="00020960"/>
    <w:rsid w:val="000423C3"/>
    <w:rsid w:val="00065BF4"/>
    <w:rsid w:val="00075E54"/>
    <w:rsid w:val="000816E3"/>
    <w:rsid w:val="00092CE3"/>
    <w:rsid w:val="00097E88"/>
    <w:rsid w:val="000C4A8D"/>
    <w:rsid w:val="000C7114"/>
    <w:rsid w:val="000D034C"/>
    <w:rsid w:val="000E1016"/>
    <w:rsid w:val="000E443E"/>
    <w:rsid w:val="001057FD"/>
    <w:rsid w:val="00167D90"/>
    <w:rsid w:val="00184A80"/>
    <w:rsid w:val="001C0703"/>
    <w:rsid w:val="001E5CC4"/>
    <w:rsid w:val="001F7BC5"/>
    <w:rsid w:val="00241A2A"/>
    <w:rsid w:val="0025563B"/>
    <w:rsid w:val="00272F71"/>
    <w:rsid w:val="002A66F9"/>
    <w:rsid w:val="002E2D1A"/>
    <w:rsid w:val="002F23DD"/>
    <w:rsid w:val="002F7FD6"/>
    <w:rsid w:val="00317656"/>
    <w:rsid w:val="00340C1C"/>
    <w:rsid w:val="00340C9C"/>
    <w:rsid w:val="003540E2"/>
    <w:rsid w:val="0038686D"/>
    <w:rsid w:val="00392A3E"/>
    <w:rsid w:val="003B2AFA"/>
    <w:rsid w:val="003B6C85"/>
    <w:rsid w:val="003C0CF3"/>
    <w:rsid w:val="003E0B3E"/>
    <w:rsid w:val="0044201B"/>
    <w:rsid w:val="00444EE2"/>
    <w:rsid w:val="00454E30"/>
    <w:rsid w:val="00466E75"/>
    <w:rsid w:val="004722ED"/>
    <w:rsid w:val="004725ED"/>
    <w:rsid w:val="00481D81"/>
    <w:rsid w:val="00494CCC"/>
    <w:rsid w:val="004B5563"/>
    <w:rsid w:val="004B7822"/>
    <w:rsid w:val="004E0793"/>
    <w:rsid w:val="004E577E"/>
    <w:rsid w:val="005039A1"/>
    <w:rsid w:val="00532392"/>
    <w:rsid w:val="00550C30"/>
    <w:rsid w:val="0055101A"/>
    <w:rsid w:val="0055507A"/>
    <w:rsid w:val="00557DC8"/>
    <w:rsid w:val="00571393"/>
    <w:rsid w:val="00596339"/>
    <w:rsid w:val="005966AB"/>
    <w:rsid w:val="005A1D41"/>
    <w:rsid w:val="005A2514"/>
    <w:rsid w:val="005B0B3F"/>
    <w:rsid w:val="00606E71"/>
    <w:rsid w:val="006158F3"/>
    <w:rsid w:val="00623ACC"/>
    <w:rsid w:val="00642EDD"/>
    <w:rsid w:val="006477F1"/>
    <w:rsid w:val="00683A93"/>
    <w:rsid w:val="006B3F4A"/>
    <w:rsid w:val="006D1F6B"/>
    <w:rsid w:val="006E0D88"/>
    <w:rsid w:val="006F2248"/>
    <w:rsid w:val="007025D9"/>
    <w:rsid w:val="007069A2"/>
    <w:rsid w:val="007120E5"/>
    <w:rsid w:val="007148A1"/>
    <w:rsid w:val="00723CFA"/>
    <w:rsid w:val="00760D70"/>
    <w:rsid w:val="00763C51"/>
    <w:rsid w:val="00780B03"/>
    <w:rsid w:val="00785255"/>
    <w:rsid w:val="007857FD"/>
    <w:rsid w:val="00786F4E"/>
    <w:rsid w:val="007913FE"/>
    <w:rsid w:val="007B312D"/>
    <w:rsid w:val="007B5C64"/>
    <w:rsid w:val="007D3448"/>
    <w:rsid w:val="007D7883"/>
    <w:rsid w:val="007E0FEF"/>
    <w:rsid w:val="007E50ED"/>
    <w:rsid w:val="007F4B1C"/>
    <w:rsid w:val="007F56EE"/>
    <w:rsid w:val="0080032C"/>
    <w:rsid w:val="00807EAD"/>
    <w:rsid w:val="008276E1"/>
    <w:rsid w:val="00831370"/>
    <w:rsid w:val="00850D38"/>
    <w:rsid w:val="00856421"/>
    <w:rsid w:val="00861F1F"/>
    <w:rsid w:val="008765C9"/>
    <w:rsid w:val="00881B71"/>
    <w:rsid w:val="008A5D00"/>
    <w:rsid w:val="008B111C"/>
    <w:rsid w:val="008B210A"/>
    <w:rsid w:val="009022E5"/>
    <w:rsid w:val="0091416B"/>
    <w:rsid w:val="0092350C"/>
    <w:rsid w:val="00923697"/>
    <w:rsid w:val="00925E22"/>
    <w:rsid w:val="00935B86"/>
    <w:rsid w:val="00940E7B"/>
    <w:rsid w:val="00951646"/>
    <w:rsid w:val="00980D93"/>
    <w:rsid w:val="009861A5"/>
    <w:rsid w:val="009979C9"/>
    <w:rsid w:val="009A3ECC"/>
    <w:rsid w:val="009C693F"/>
    <w:rsid w:val="009E0975"/>
    <w:rsid w:val="009E0CEA"/>
    <w:rsid w:val="00A10D40"/>
    <w:rsid w:val="00A11159"/>
    <w:rsid w:val="00A165B9"/>
    <w:rsid w:val="00A20582"/>
    <w:rsid w:val="00A61C57"/>
    <w:rsid w:val="00A7631F"/>
    <w:rsid w:val="00A77856"/>
    <w:rsid w:val="00AA09F1"/>
    <w:rsid w:val="00AB1C8B"/>
    <w:rsid w:val="00AC3518"/>
    <w:rsid w:val="00AC3FC9"/>
    <w:rsid w:val="00AE1A1F"/>
    <w:rsid w:val="00AE30CC"/>
    <w:rsid w:val="00AF3277"/>
    <w:rsid w:val="00AF3539"/>
    <w:rsid w:val="00B133EB"/>
    <w:rsid w:val="00B4262C"/>
    <w:rsid w:val="00B45AD7"/>
    <w:rsid w:val="00B47CA1"/>
    <w:rsid w:val="00B50AE8"/>
    <w:rsid w:val="00B72534"/>
    <w:rsid w:val="00B74375"/>
    <w:rsid w:val="00B85FC3"/>
    <w:rsid w:val="00BA766F"/>
    <w:rsid w:val="00BB5099"/>
    <w:rsid w:val="00BE1B5A"/>
    <w:rsid w:val="00BE44ED"/>
    <w:rsid w:val="00BE6B77"/>
    <w:rsid w:val="00BF16CC"/>
    <w:rsid w:val="00C21036"/>
    <w:rsid w:val="00C469D7"/>
    <w:rsid w:val="00C47E36"/>
    <w:rsid w:val="00C71E1B"/>
    <w:rsid w:val="00C931D5"/>
    <w:rsid w:val="00CD4125"/>
    <w:rsid w:val="00D02E04"/>
    <w:rsid w:val="00D174A6"/>
    <w:rsid w:val="00D175C4"/>
    <w:rsid w:val="00D4533F"/>
    <w:rsid w:val="00D52675"/>
    <w:rsid w:val="00D75744"/>
    <w:rsid w:val="00D91504"/>
    <w:rsid w:val="00DA4FFC"/>
    <w:rsid w:val="00DC2DCB"/>
    <w:rsid w:val="00E1750C"/>
    <w:rsid w:val="00E2302A"/>
    <w:rsid w:val="00E34373"/>
    <w:rsid w:val="00E53F52"/>
    <w:rsid w:val="00E711AE"/>
    <w:rsid w:val="00E90B91"/>
    <w:rsid w:val="00E90E61"/>
    <w:rsid w:val="00E91BDB"/>
    <w:rsid w:val="00E922A4"/>
    <w:rsid w:val="00EA181B"/>
    <w:rsid w:val="00EB44A1"/>
    <w:rsid w:val="00EB624F"/>
    <w:rsid w:val="00ED1C0A"/>
    <w:rsid w:val="00EE190B"/>
    <w:rsid w:val="00F01CC2"/>
    <w:rsid w:val="00F1683F"/>
    <w:rsid w:val="00F33CCA"/>
    <w:rsid w:val="00F35313"/>
    <w:rsid w:val="00F37B55"/>
    <w:rsid w:val="00F516A0"/>
    <w:rsid w:val="00F71C12"/>
    <w:rsid w:val="00F82197"/>
    <w:rsid w:val="00FC30CE"/>
    <w:rsid w:val="00FC5861"/>
    <w:rsid w:val="00FD1884"/>
    <w:rsid w:val="00FD1EA6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64D5"/>
  <w15:chartTrackingRefBased/>
  <w15:docId w15:val="{BD71BF76-A4C8-465D-AE61-2A2F5DA9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1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1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1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1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1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1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1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1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1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1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1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1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13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13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13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13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13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13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1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1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13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13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13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1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13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137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2F7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2F7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90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741</Words>
  <Characters>4228</Characters>
  <Application>Microsoft Office Word</Application>
  <DocSecurity>0</DocSecurity>
  <Lines>35</Lines>
  <Paragraphs>9</Paragraphs>
  <ScaleCrop>false</ScaleCrop>
  <Company>Regione Emilia-Romagna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181</cp:revision>
  <dcterms:created xsi:type="dcterms:W3CDTF">2026-02-19T10:13:00Z</dcterms:created>
  <dcterms:modified xsi:type="dcterms:W3CDTF">2026-02-23T09:46:00Z</dcterms:modified>
</cp:coreProperties>
</file>